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32469" w14:textId="77777777" w:rsidR="005558CF" w:rsidRPr="001D15EE" w:rsidRDefault="005558CF" w:rsidP="007F72D6">
      <w:pPr>
        <w:spacing w:line="276" w:lineRule="auto"/>
        <w:jc w:val="both"/>
        <w:rPr>
          <w:rFonts w:asciiTheme="minorHAnsi" w:hAnsiTheme="minorHAnsi" w:cstheme="minorHAnsi"/>
        </w:rPr>
      </w:pPr>
    </w:p>
    <w:p w14:paraId="3038771C" w14:textId="795FD339" w:rsidR="005558CF" w:rsidRPr="001D15EE" w:rsidRDefault="005558CF" w:rsidP="007F72D6">
      <w:pPr>
        <w:spacing w:line="276" w:lineRule="auto"/>
        <w:jc w:val="both"/>
        <w:rPr>
          <w:rFonts w:asciiTheme="minorHAnsi" w:hAnsiTheme="minorHAnsi" w:cstheme="minorHAnsi"/>
        </w:rPr>
      </w:pPr>
    </w:p>
    <w:p w14:paraId="013E3209" w14:textId="77777777" w:rsidR="005558CF" w:rsidRPr="001D15EE" w:rsidRDefault="005558CF" w:rsidP="007F72D6">
      <w:pPr>
        <w:spacing w:line="276" w:lineRule="auto"/>
        <w:jc w:val="both"/>
        <w:rPr>
          <w:rFonts w:asciiTheme="minorHAnsi" w:hAnsiTheme="minorHAnsi" w:cstheme="minorHAnsi"/>
        </w:rPr>
      </w:pPr>
    </w:p>
    <w:p w14:paraId="4A1233F9" w14:textId="77777777" w:rsidR="005558CF" w:rsidRPr="001D15EE" w:rsidRDefault="005558CF" w:rsidP="007F72D6">
      <w:pPr>
        <w:spacing w:line="276" w:lineRule="auto"/>
        <w:jc w:val="both"/>
        <w:rPr>
          <w:rFonts w:asciiTheme="minorHAnsi" w:hAnsiTheme="minorHAnsi" w:cstheme="minorHAnsi"/>
        </w:rPr>
      </w:pPr>
    </w:p>
    <w:p w14:paraId="3760B3D8" w14:textId="77777777" w:rsidR="005558CF" w:rsidRPr="001D15EE" w:rsidRDefault="005558CF" w:rsidP="007F72D6">
      <w:pPr>
        <w:spacing w:line="276" w:lineRule="auto"/>
        <w:jc w:val="both"/>
        <w:rPr>
          <w:rFonts w:asciiTheme="minorHAnsi" w:hAnsiTheme="minorHAnsi" w:cstheme="minorHAnsi"/>
        </w:rPr>
      </w:pPr>
    </w:p>
    <w:p w14:paraId="13E0495A" w14:textId="240805C5" w:rsidR="005558CF" w:rsidRPr="001D15EE" w:rsidRDefault="000279A3" w:rsidP="007F72D6">
      <w:pPr>
        <w:spacing w:line="276" w:lineRule="auto"/>
        <w:jc w:val="center"/>
        <w:rPr>
          <w:rFonts w:asciiTheme="minorHAnsi" w:hAnsiTheme="minorHAnsi" w:cstheme="minorHAnsi"/>
        </w:rPr>
      </w:pPr>
      <w:r w:rsidRPr="001D15EE">
        <w:rPr>
          <w:rFonts w:asciiTheme="minorHAnsi" w:hAnsiTheme="minorHAnsi" w:cstheme="minorHAnsi"/>
          <w:noProof/>
          <w:lang w:val="en-US" w:eastAsia="en-US"/>
        </w:rPr>
        <w:drawing>
          <wp:inline distT="0" distB="0" distL="0" distR="0" wp14:anchorId="03939292" wp14:editId="1CCC0A19">
            <wp:extent cx="4607560" cy="872602"/>
            <wp:effectExtent l="0" t="0" r="2540" b="381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67002" cy="883859"/>
                    </a:xfrm>
                    <a:prstGeom prst="rect">
                      <a:avLst/>
                    </a:prstGeom>
                    <a:noFill/>
                    <a:ln>
                      <a:noFill/>
                    </a:ln>
                  </pic:spPr>
                </pic:pic>
              </a:graphicData>
            </a:graphic>
          </wp:inline>
        </w:drawing>
      </w:r>
    </w:p>
    <w:p w14:paraId="1E6ABA0B" w14:textId="77777777" w:rsidR="005558CF" w:rsidRPr="001D15EE" w:rsidRDefault="005558CF" w:rsidP="007F72D6">
      <w:pPr>
        <w:spacing w:line="276" w:lineRule="auto"/>
        <w:jc w:val="both"/>
        <w:rPr>
          <w:rFonts w:asciiTheme="minorHAnsi" w:hAnsiTheme="minorHAnsi" w:cstheme="minorHAnsi"/>
        </w:rPr>
      </w:pPr>
    </w:p>
    <w:p w14:paraId="7F70023F" w14:textId="77777777" w:rsidR="005558CF" w:rsidRPr="001D15EE" w:rsidRDefault="005558CF" w:rsidP="007F72D6">
      <w:pPr>
        <w:spacing w:line="276" w:lineRule="auto"/>
        <w:jc w:val="both"/>
        <w:rPr>
          <w:rFonts w:asciiTheme="minorHAnsi" w:hAnsiTheme="minorHAnsi" w:cstheme="minorHAnsi"/>
        </w:rPr>
      </w:pPr>
      <w:r w:rsidRPr="001D15EE">
        <w:rPr>
          <w:rFonts w:asciiTheme="minorHAnsi" w:hAnsiTheme="minorHAnsi" w:cstheme="minorHAnsi"/>
          <w:noProof/>
          <w:lang w:val="en-US" w:eastAsia="en-US"/>
        </w:rPr>
        <w:drawing>
          <wp:anchor distT="114300" distB="114300" distL="114300" distR="114300" simplePos="0" relativeHeight="251659264" behindDoc="0" locked="0" layoutInCell="1" hidden="0" allowOverlap="1" wp14:anchorId="3174AA67" wp14:editId="63B9F141">
            <wp:simplePos x="0" y="0"/>
            <wp:positionH relativeFrom="margin">
              <wp:posOffset>1785620</wp:posOffset>
            </wp:positionH>
            <wp:positionV relativeFrom="paragraph">
              <wp:posOffset>114300</wp:posOffset>
            </wp:positionV>
            <wp:extent cx="2162175" cy="2160000"/>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162175" cy="2160000"/>
                    </a:xfrm>
                    <a:prstGeom prst="rect">
                      <a:avLst/>
                    </a:prstGeom>
                    <a:ln/>
                  </pic:spPr>
                </pic:pic>
              </a:graphicData>
            </a:graphic>
            <wp14:sizeRelV relativeFrom="margin">
              <wp14:pctHeight>0</wp14:pctHeight>
            </wp14:sizeRelV>
          </wp:anchor>
        </w:drawing>
      </w:r>
    </w:p>
    <w:p w14:paraId="07132B51" w14:textId="77777777" w:rsidR="005558CF" w:rsidRPr="001D15EE" w:rsidRDefault="005558CF" w:rsidP="007F72D6">
      <w:pPr>
        <w:spacing w:line="276" w:lineRule="auto"/>
        <w:jc w:val="both"/>
        <w:rPr>
          <w:rFonts w:asciiTheme="minorHAnsi" w:hAnsiTheme="minorHAnsi" w:cstheme="minorHAnsi"/>
        </w:rPr>
      </w:pPr>
    </w:p>
    <w:p w14:paraId="057182CB" w14:textId="77777777" w:rsidR="005558CF" w:rsidRPr="001D15EE" w:rsidRDefault="005558CF" w:rsidP="007F72D6">
      <w:pPr>
        <w:spacing w:line="276" w:lineRule="auto"/>
        <w:jc w:val="both"/>
        <w:rPr>
          <w:rFonts w:asciiTheme="minorHAnsi" w:hAnsiTheme="minorHAnsi" w:cstheme="minorHAnsi"/>
        </w:rPr>
      </w:pPr>
    </w:p>
    <w:p w14:paraId="6EB35A58" w14:textId="77777777" w:rsidR="005558CF" w:rsidRPr="001D15EE" w:rsidRDefault="005558CF" w:rsidP="007F72D6">
      <w:pPr>
        <w:spacing w:line="276" w:lineRule="auto"/>
        <w:jc w:val="both"/>
        <w:rPr>
          <w:rFonts w:asciiTheme="minorHAnsi" w:hAnsiTheme="minorHAnsi" w:cstheme="minorHAnsi"/>
        </w:rPr>
      </w:pPr>
    </w:p>
    <w:p w14:paraId="719DCF70" w14:textId="77777777" w:rsidR="005558CF" w:rsidRPr="001D15EE" w:rsidRDefault="005558CF" w:rsidP="007F72D6">
      <w:pPr>
        <w:spacing w:line="276" w:lineRule="auto"/>
        <w:jc w:val="both"/>
        <w:rPr>
          <w:rFonts w:asciiTheme="minorHAnsi" w:hAnsiTheme="minorHAnsi" w:cstheme="minorHAnsi"/>
        </w:rPr>
      </w:pPr>
    </w:p>
    <w:p w14:paraId="4E2BE410" w14:textId="77777777" w:rsidR="005558CF" w:rsidRPr="001D15EE" w:rsidRDefault="005558CF" w:rsidP="007F72D6">
      <w:pPr>
        <w:spacing w:line="276" w:lineRule="auto"/>
        <w:jc w:val="both"/>
        <w:rPr>
          <w:rFonts w:asciiTheme="minorHAnsi" w:hAnsiTheme="minorHAnsi" w:cstheme="minorHAnsi"/>
        </w:rPr>
      </w:pPr>
    </w:p>
    <w:p w14:paraId="04D914B4" w14:textId="77777777" w:rsidR="005558CF" w:rsidRPr="001D15EE" w:rsidRDefault="005558CF" w:rsidP="007F72D6">
      <w:pPr>
        <w:spacing w:line="276" w:lineRule="auto"/>
        <w:jc w:val="both"/>
        <w:rPr>
          <w:rFonts w:asciiTheme="minorHAnsi" w:hAnsiTheme="minorHAnsi" w:cstheme="minorHAnsi"/>
        </w:rPr>
      </w:pPr>
    </w:p>
    <w:p w14:paraId="16FBFD88" w14:textId="77777777" w:rsidR="005558CF" w:rsidRPr="001D15EE" w:rsidRDefault="005558CF" w:rsidP="007F72D6">
      <w:pPr>
        <w:spacing w:line="276" w:lineRule="auto"/>
        <w:jc w:val="both"/>
        <w:rPr>
          <w:rFonts w:asciiTheme="minorHAnsi" w:hAnsiTheme="minorHAnsi" w:cstheme="minorHAnsi"/>
        </w:rPr>
      </w:pPr>
    </w:p>
    <w:p w14:paraId="5C3A1076" w14:textId="77777777" w:rsidR="005558CF" w:rsidRPr="001D15EE" w:rsidRDefault="005558CF" w:rsidP="007F72D6">
      <w:pPr>
        <w:spacing w:line="276" w:lineRule="auto"/>
        <w:jc w:val="both"/>
        <w:rPr>
          <w:rFonts w:asciiTheme="minorHAnsi" w:hAnsiTheme="minorHAnsi" w:cstheme="minorHAnsi"/>
        </w:rPr>
      </w:pPr>
    </w:p>
    <w:p w14:paraId="3A9678B4" w14:textId="77777777" w:rsidR="005558CF" w:rsidRPr="001D15EE" w:rsidRDefault="005558CF" w:rsidP="007F72D6">
      <w:pPr>
        <w:spacing w:line="276" w:lineRule="auto"/>
        <w:jc w:val="both"/>
        <w:rPr>
          <w:rFonts w:asciiTheme="minorHAnsi" w:hAnsiTheme="minorHAnsi" w:cstheme="minorHAnsi"/>
        </w:rPr>
      </w:pPr>
    </w:p>
    <w:p w14:paraId="39A15234" w14:textId="77777777" w:rsidR="005558CF" w:rsidRPr="001D15EE" w:rsidRDefault="005558CF" w:rsidP="007F72D6">
      <w:pPr>
        <w:spacing w:line="276" w:lineRule="auto"/>
        <w:jc w:val="both"/>
        <w:rPr>
          <w:rFonts w:asciiTheme="minorHAnsi" w:hAnsiTheme="minorHAnsi" w:cstheme="minorHAnsi"/>
        </w:rPr>
      </w:pPr>
    </w:p>
    <w:p w14:paraId="7CDB734C" w14:textId="77777777" w:rsidR="005558CF" w:rsidRPr="001D15EE" w:rsidRDefault="005558CF" w:rsidP="007F72D6">
      <w:pPr>
        <w:spacing w:line="276" w:lineRule="auto"/>
        <w:jc w:val="both"/>
        <w:rPr>
          <w:rFonts w:asciiTheme="minorHAnsi" w:hAnsiTheme="minorHAnsi" w:cstheme="minorHAnsi"/>
        </w:rPr>
      </w:pPr>
    </w:p>
    <w:p w14:paraId="09E325B8" w14:textId="77777777" w:rsidR="005558CF" w:rsidRPr="001D15EE" w:rsidRDefault="005558CF" w:rsidP="007F72D6">
      <w:pPr>
        <w:spacing w:line="276" w:lineRule="auto"/>
        <w:jc w:val="both"/>
        <w:rPr>
          <w:rFonts w:asciiTheme="minorHAnsi" w:hAnsiTheme="minorHAnsi" w:cstheme="minorHAnsi"/>
        </w:rPr>
      </w:pPr>
    </w:p>
    <w:p w14:paraId="5494E734" w14:textId="550A82CD" w:rsidR="00A06734" w:rsidRPr="001D15EE" w:rsidRDefault="002171F6" w:rsidP="007F72D6">
      <w:pPr>
        <w:spacing w:line="276" w:lineRule="auto"/>
        <w:jc w:val="center"/>
        <w:rPr>
          <w:rFonts w:asciiTheme="minorHAnsi" w:hAnsiTheme="minorHAnsi" w:cstheme="minorHAnsi"/>
          <w:b/>
        </w:rPr>
      </w:pPr>
      <w:r w:rsidRPr="001D15EE">
        <w:rPr>
          <w:rFonts w:asciiTheme="minorHAnsi" w:hAnsiTheme="minorHAnsi" w:cstheme="minorHAnsi"/>
          <w:b/>
        </w:rPr>
        <w:t xml:space="preserve">National limitations to judicial review in </w:t>
      </w:r>
      <w:r w:rsidR="00A06734" w:rsidRPr="001D15EE">
        <w:rPr>
          <w:rFonts w:asciiTheme="minorHAnsi" w:hAnsiTheme="minorHAnsi" w:cstheme="minorHAnsi"/>
          <w:b/>
        </w:rPr>
        <w:t xml:space="preserve">migration </w:t>
      </w:r>
      <w:r w:rsidRPr="001D15EE">
        <w:rPr>
          <w:rFonts w:asciiTheme="minorHAnsi" w:hAnsiTheme="minorHAnsi" w:cstheme="minorHAnsi"/>
          <w:b/>
        </w:rPr>
        <w:t>detention cases</w:t>
      </w:r>
      <w:r w:rsidR="00A06734" w:rsidRPr="001D15EE">
        <w:rPr>
          <w:rFonts w:asciiTheme="minorHAnsi" w:hAnsiTheme="minorHAnsi" w:cstheme="minorHAnsi"/>
          <w:b/>
        </w:rPr>
        <w:t xml:space="preserve">: </w:t>
      </w:r>
    </w:p>
    <w:p w14:paraId="59331D98" w14:textId="334685A3" w:rsidR="002171F6" w:rsidRPr="007F72D6" w:rsidRDefault="007F72D6" w:rsidP="007F72D6">
      <w:pPr>
        <w:spacing w:line="276" w:lineRule="auto"/>
        <w:jc w:val="center"/>
        <w:rPr>
          <w:rFonts w:asciiTheme="minorHAnsi" w:hAnsiTheme="minorHAnsi" w:cstheme="minorHAnsi"/>
          <w:b/>
          <w:bCs/>
        </w:rPr>
      </w:pPr>
      <w:r w:rsidRPr="007F72D6">
        <w:rPr>
          <w:rFonts w:asciiTheme="minorHAnsi" w:hAnsiTheme="minorHAnsi" w:cstheme="minorHAnsi"/>
          <w:b/>
          <w:bCs/>
          <w:sz w:val="22"/>
          <w:szCs w:val="22"/>
        </w:rPr>
        <w:t xml:space="preserve">Prohibition, competence or requirement of </w:t>
      </w:r>
      <w:r w:rsidRPr="007F72D6">
        <w:rPr>
          <w:rFonts w:asciiTheme="minorHAnsi" w:hAnsiTheme="minorHAnsi" w:cstheme="minorHAnsi"/>
          <w:b/>
          <w:bCs/>
          <w:i/>
          <w:iCs/>
          <w:sz w:val="22"/>
          <w:szCs w:val="22"/>
        </w:rPr>
        <w:t>ex officio</w:t>
      </w:r>
      <w:r w:rsidRPr="007F72D6">
        <w:rPr>
          <w:rFonts w:asciiTheme="minorHAnsi" w:hAnsiTheme="minorHAnsi" w:cstheme="minorHAnsi"/>
          <w:b/>
          <w:bCs/>
          <w:sz w:val="22"/>
          <w:szCs w:val="22"/>
        </w:rPr>
        <w:t xml:space="preserve"> review?</w:t>
      </w:r>
    </w:p>
    <w:p w14:paraId="6A2AC81A" w14:textId="3E19E0FD" w:rsidR="005558CF" w:rsidRPr="001D15EE" w:rsidRDefault="00341110" w:rsidP="007F72D6">
      <w:pPr>
        <w:spacing w:line="276" w:lineRule="auto"/>
        <w:jc w:val="center"/>
        <w:rPr>
          <w:rFonts w:asciiTheme="minorHAnsi" w:hAnsiTheme="minorHAnsi" w:cstheme="minorHAnsi"/>
        </w:rPr>
      </w:pPr>
      <w:r>
        <w:rPr>
          <w:rFonts w:asciiTheme="minorHAnsi" w:hAnsiTheme="minorHAnsi" w:cstheme="minorHAnsi"/>
          <w:b/>
        </w:rPr>
        <w:t xml:space="preserve"> </w:t>
      </w:r>
    </w:p>
    <w:p w14:paraId="064B797F" w14:textId="77777777" w:rsidR="005558CF" w:rsidRPr="001D15EE" w:rsidRDefault="005558CF" w:rsidP="007F72D6">
      <w:pPr>
        <w:spacing w:line="276" w:lineRule="auto"/>
        <w:jc w:val="both"/>
        <w:rPr>
          <w:rFonts w:asciiTheme="minorHAnsi" w:hAnsiTheme="minorHAnsi" w:cstheme="minorHAnsi"/>
        </w:rPr>
      </w:pPr>
    </w:p>
    <w:p w14:paraId="1880ADC5" w14:textId="77777777" w:rsidR="005558CF" w:rsidRPr="001D15EE" w:rsidRDefault="005558CF" w:rsidP="007F72D6">
      <w:pPr>
        <w:spacing w:line="276" w:lineRule="auto"/>
        <w:jc w:val="both"/>
        <w:rPr>
          <w:rFonts w:asciiTheme="minorHAnsi" w:hAnsiTheme="minorHAnsi" w:cstheme="minorHAnsi"/>
        </w:rPr>
      </w:pPr>
    </w:p>
    <w:p w14:paraId="1B970DA0" w14:textId="5637A9B5" w:rsidR="005558CF" w:rsidRPr="001D15EE" w:rsidRDefault="002171F6" w:rsidP="007F72D6">
      <w:pPr>
        <w:spacing w:line="276" w:lineRule="auto"/>
        <w:jc w:val="center"/>
        <w:rPr>
          <w:rFonts w:asciiTheme="minorHAnsi" w:hAnsiTheme="minorHAnsi" w:cstheme="minorHAnsi"/>
        </w:rPr>
      </w:pPr>
      <w:r w:rsidRPr="001D15EE">
        <w:rPr>
          <w:rFonts w:asciiTheme="minorHAnsi" w:hAnsiTheme="minorHAnsi" w:cstheme="minorHAnsi"/>
        </w:rPr>
        <w:t>March</w:t>
      </w:r>
      <w:r w:rsidR="005558CF" w:rsidRPr="001D15EE">
        <w:rPr>
          <w:rFonts w:asciiTheme="minorHAnsi" w:hAnsiTheme="minorHAnsi" w:cstheme="minorHAnsi"/>
        </w:rPr>
        <w:t xml:space="preserve"> 202</w:t>
      </w:r>
      <w:r w:rsidRPr="001D15EE">
        <w:rPr>
          <w:rFonts w:asciiTheme="minorHAnsi" w:hAnsiTheme="minorHAnsi" w:cstheme="minorHAnsi"/>
        </w:rPr>
        <w:t>1</w:t>
      </w:r>
    </w:p>
    <w:p w14:paraId="0CF2694D" w14:textId="77777777" w:rsidR="005558CF" w:rsidRPr="001D15EE" w:rsidRDefault="005558CF" w:rsidP="007F72D6">
      <w:pPr>
        <w:spacing w:line="276" w:lineRule="auto"/>
        <w:jc w:val="both"/>
        <w:rPr>
          <w:rFonts w:asciiTheme="minorHAnsi" w:hAnsiTheme="minorHAnsi" w:cstheme="minorHAnsi"/>
        </w:rPr>
      </w:pPr>
    </w:p>
    <w:p w14:paraId="4ABE6EF6" w14:textId="77777777" w:rsidR="005558CF" w:rsidRPr="001D15EE" w:rsidRDefault="005558CF" w:rsidP="007F72D6">
      <w:pPr>
        <w:spacing w:line="276" w:lineRule="auto"/>
        <w:jc w:val="both"/>
        <w:rPr>
          <w:rFonts w:asciiTheme="minorHAnsi" w:hAnsiTheme="minorHAnsi" w:cstheme="minorHAnsi"/>
        </w:rPr>
      </w:pPr>
    </w:p>
    <w:p w14:paraId="06B3B1DB" w14:textId="77777777" w:rsidR="005558CF" w:rsidRPr="001D15EE" w:rsidRDefault="005558CF" w:rsidP="007F72D6">
      <w:pPr>
        <w:spacing w:line="276" w:lineRule="auto"/>
        <w:jc w:val="both"/>
        <w:rPr>
          <w:rFonts w:asciiTheme="minorHAnsi" w:hAnsiTheme="minorHAnsi" w:cstheme="minorHAnsi"/>
        </w:rPr>
      </w:pPr>
    </w:p>
    <w:p w14:paraId="36BAD3E9" w14:textId="77777777" w:rsidR="005558CF" w:rsidRPr="001D15EE" w:rsidRDefault="005558CF" w:rsidP="007F72D6">
      <w:pPr>
        <w:spacing w:line="276" w:lineRule="auto"/>
        <w:jc w:val="both"/>
        <w:rPr>
          <w:rFonts w:asciiTheme="minorHAnsi" w:hAnsiTheme="minorHAnsi" w:cstheme="minorHAnsi"/>
        </w:rPr>
      </w:pPr>
    </w:p>
    <w:p w14:paraId="386051B6" w14:textId="77777777" w:rsidR="005558CF" w:rsidRPr="001D15EE" w:rsidRDefault="005558CF" w:rsidP="007F72D6">
      <w:pPr>
        <w:spacing w:line="276" w:lineRule="auto"/>
        <w:jc w:val="both"/>
        <w:rPr>
          <w:rFonts w:asciiTheme="minorHAnsi" w:hAnsiTheme="minorHAnsi" w:cstheme="minorHAnsi"/>
        </w:rPr>
      </w:pPr>
    </w:p>
    <w:p w14:paraId="622B7234" w14:textId="77777777" w:rsidR="005558CF" w:rsidRPr="001D15EE" w:rsidRDefault="005558CF" w:rsidP="007F72D6">
      <w:pPr>
        <w:spacing w:line="276" w:lineRule="auto"/>
        <w:jc w:val="both"/>
        <w:rPr>
          <w:rFonts w:asciiTheme="minorHAnsi" w:hAnsiTheme="minorHAnsi" w:cstheme="minorHAnsi"/>
        </w:rPr>
      </w:pPr>
    </w:p>
    <w:p w14:paraId="37C932D9" w14:textId="77777777" w:rsidR="005558CF" w:rsidRPr="001D15EE" w:rsidRDefault="005558CF" w:rsidP="007F72D6">
      <w:pPr>
        <w:spacing w:line="276" w:lineRule="auto"/>
        <w:jc w:val="both"/>
        <w:rPr>
          <w:rFonts w:asciiTheme="minorHAnsi" w:hAnsiTheme="minorHAnsi" w:cstheme="minorHAnsi"/>
        </w:rPr>
      </w:pPr>
    </w:p>
    <w:p w14:paraId="3CB06F45" w14:textId="77777777" w:rsidR="005558CF" w:rsidRPr="001D15EE" w:rsidRDefault="005558CF" w:rsidP="007F72D6">
      <w:pPr>
        <w:spacing w:line="276" w:lineRule="auto"/>
        <w:jc w:val="center"/>
        <w:rPr>
          <w:rFonts w:asciiTheme="minorHAnsi" w:hAnsiTheme="minorHAnsi" w:cstheme="minorHAnsi"/>
        </w:rPr>
      </w:pPr>
      <w:r w:rsidRPr="001D15EE">
        <w:rPr>
          <w:rFonts w:asciiTheme="minorHAnsi" w:hAnsiTheme="minorHAnsi" w:cstheme="minorHAnsi"/>
        </w:rPr>
        <w:t>Migration Law Clinic</w:t>
      </w:r>
    </w:p>
    <w:p w14:paraId="57A98BFF" w14:textId="77777777" w:rsidR="005558CF" w:rsidRPr="001D15EE" w:rsidRDefault="00697032" w:rsidP="007F72D6">
      <w:pPr>
        <w:spacing w:line="276" w:lineRule="auto"/>
        <w:jc w:val="center"/>
        <w:rPr>
          <w:rFonts w:asciiTheme="minorHAnsi" w:hAnsiTheme="minorHAnsi" w:cstheme="minorHAnsi"/>
        </w:rPr>
      </w:pPr>
      <w:hyperlink r:id="rId11">
        <w:r w:rsidR="005558CF" w:rsidRPr="001D15EE">
          <w:rPr>
            <w:rFonts w:asciiTheme="minorHAnsi" w:hAnsiTheme="minorHAnsi" w:cstheme="minorHAnsi"/>
            <w:color w:val="1155CC"/>
            <w:u w:val="single"/>
          </w:rPr>
          <w:t>www.migrationlawclinic.org</w:t>
        </w:r>
      </w:hyperlink>
    </w:p>
    <w:p w14:paraId="1E6C9EFD" w14:textId="77777777" w:rsidR="005558CF" w:rsidRPr="001D15EE" w:rsidRDefault="005558CF" w:rsidP="007F72D6">
      <w:pPr>
        <w:spacing w:line="276" w:lineRule="auto"/>
        <w:jc w:val="center"/>
        <w:rPr>
          <w:rFonts w:asciiTheme="minorHAnsi" w:hAnsiTheme="minorHAnsi" w:cstheme="minorHAnsi"/>
        </w:rPr>
      </w:pPr>
    </w:p>
    <w:p w14:paraId="481C1239" w14:textId="77777777" w:rsidR="005558CF" w:rsidRPr="001D15EE" w:rsidRDefault="005558CF" w:rsidP="007F72D6">
      <w:pPr>
        <w:spacing w:line="276" w:lineRule="auto"/>
        <w:jc w:val="center"/>
        <w:rPr>
          <w:rFonts w:asciiTheme="minorHAnsi" w:hAnsiTheme="minorHAnsi" w:cstheme="minorHAnsi"/>
        </w:rPr>
      </w:pPr>
    </w:p>
    <w:p w14:paraId="77F3E507" w14:textId="77777777" w:rsidR="005558CF" w:rsidRPr="001D15EE" w:rsidRDefault="005558CF" w:rsidP="007F72D6">
      <w:pPr>
        <w:spacing w:line="276" w:lineRule="auto"/>
        <w:rPr>
          <w:rFonts w:asciiTheme="minorHAnsi" w:hAnsiTheme="minorHAnsi" w:cstheme="minorHAnsi"/>
        </w:rPr>
      </w:pPr>
      <w:r w:rsidRPr="001D15EE">
        <w:rPr>
          <w:rFonts w:asciiTheme="minorHAnsi" w:hAnsiTheme="minorHAnsi" w:cstheme="minorHAnsi"/>
        </w:rPr>
        <w:br w:type="page"/>
      </w:r>
    </w:p>
    <w:p w14:paraId="62A632F4" w14:textId="77777777" w:rsidR="005558CF" w:rsidRPr="001D15EE" w:rsidRDefault="005558CF" w:rsidP="007F72D6">
      <w:pPr>
        <w:spacing w:line="276" w:lineRule="auto"/>
        <w:rPr>
          <w:rFonts w:asciiTheme="minorHAnsi" w:hAnsiTheme="minorHAnsi" w:cstheme="minorHAnsi"/>
          <w:b/>
        </w:rPr>
      </w:pPr>
      <w:r w:rsidRPr="001D15EE">
        <w:rPr>
          <w:rFonts w:asciiTheme="minorHAnsi" w:hAnsiTheme="minorHAnsi" w:cstheme="minorHAnsi"/>
          <w:b/>
        </w:rPr>
        <w:lastRenderedPageBreak/>
        <w:t>Migration Law Clinic and Migration Law Expertise Centre</w:t>
      </w:r>
    </w:p>
    <w:p w14:paraId="1CFDACC2" w14:textId="77777777" w:rsidR="005558CF" w:rsidRPr="001D15EE" w:rsidRDefault="005558CF" w:rsidP="007F72D6">
      <w:pPr>
        <w:spacing w:line="276" w:lineRule="auto"/>
        <w:rPr>
          <w:rFonts w:asciiTheme="minorHAnsi" w:hAnsiTheme="minorHAnsi" w:cstheme="minorHAnsi"/>
        </w:rPr>
      </w:pPr>
    </w:p>
    <w:p w14:paraId="4AD95A74" w14:textId="2E619F0E" w:rsidR="005558CF" w:rsidRPr="001D15EE" w:rsidRDefault="005558CF"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This is an expert opinion by the Migration Law Clinic. The Migration Law Clinic of the </w:t>
      </w:r>
      <w:r w:rsidR="002F77CF">
        <w:rPr>
          <w:rFonts w:asciiTheme="minorHAnsi" w:hAnsiTheme="minorHAnsi" w:cstheme="minorHAnsi"/>
          <w:sz w:val="22"/>
          <w:szCs w:val="22"/>
        </w:rPr>
        <w:t>Vrije Universiteit (</w:t>
      </w:r>
      <w:r w:rsidRPr="001D15EE">
        <w:rPr>
          <w:rFonts w:asciiTheme="minorHAnsi" w:hAnsiTheme="minorHAnsi" w:cstheme="minorHAnsi"/>
          <w:sz w:val="22"/>
          <w:szCs w:val="22"/>
        </w:rPr>
        <w:t>VU</w:t>
      </w:r>
      <w:r w:rsidR="002F77CF">
        <w:rPr>
          <w:rFonts w:asciiTheme="minorHAnsi" w:hAnsiTheme="minorHAnsi" w:cstheme="minorHAnsi"/>
          <w:sz w:val="22"/>
          <w:szCs w:val="22"/>
        </w:rPr>
        <w:t>)</w:t>
      </w:r>
      <w:r w:rsidRPr="001D15EE">
        <w:rPr>
          <w:rFonts w:asciiTheme="minorHAnsi" w:hAnsiTheme="minorHAnsi" w:cstheme="minorHAnsi"/>
          <w:sz w:val="22"/>
          <w:szCs w:val="22"/>
        </w:rPr>
        <w:t xml:space="preserve"> Amsterdam provides legal advice to lawyers, Non‐Governmental Organisations, and other organisations on complex legal questions of European migration law. Top students in the last years of their study at the Law Faculty of the VU University Amsterdam carry out research and write legal advice at the Clinic.</w:t>
      </w:r>
    </w:p>
    <w:p w14:paraId="0F6FF507" w14:textId="77777777" w:rsidR="005558CF" w:rsidRPr="001D15EE" w:rsidRDefault="005558CF" w:rsidP="007F72D6">
      <w:pPr>
        <w:spacing w:line="276" w:lineRule="auto"/>
        <w:jc w:val="both"/>
        <w:rPr>
          <w:rFonts w:asciiTheme="minorHAnsi" w:hAnsiTheme="minorHAnsi" w:cstheme="minorHAnsi"/>
          <w:sz w:val="22"/>
          <w:szCs w:val="22"/>
        </w:rPr>
      </w:pPr>
    </w:p>
    <w:p w14:paraId="5517BBB3" w14:textId="77777777" w:rsidR="005558CF" w:rsidRPr="001D15EE" w:rsidRDefault="005558CF"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They are closely supervised by the staff of the Migration Law Section of this Faculty.</w:t>
      </w:r>
    </w:p>
    <w:p w14:paraId="0A8897AD" w14:textId="77777777" w:rsidR="005558CF" w:rsidRPr="001D15EE" w:rsidRDefault="005558CF"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The Migration Law Clinic is the responsibility of the Foundation (Stichting) Migration Law Expertise Centre (No. 59,652,969 Chamber of Commerce). For more information see: migrationlawclinic.org.</w:t>
      </w:r>
    </w:p>
    <w:p w14:paraId="352F6C90" w14:textId="77777777" w:rsidR="005558CF" w:rsidRPr="001D15EE" w:rsidRDefault="005558CF" w:rsidP="007F72D6">
      <w:pPr>
        <w:spacing w:line="276" w:lineRule="auto"/>
        <w:jc w:val="both"/>
        <w:rPr>
          <w:rFonts w:asciiTheme="minorHAnsi" w:hAnsiTheme="minorHAnsi" w:cstheme="minorHAnsi"/>
          <w:sz w:val="22"/>
          <w:szCs w:val="22"/>
        </w:rPr>
      </w:pPr>
    </w:p>
    <w:p w14:paraId="279D7839" w14:textId="27E214AB" w:rsidR="005558CF" w:rsidRPr="001D15EE" w:rsidRDefault="005558CF" w:rsidP="007F72D6">
      <w:pPr>
        <w:spacing w:line="276" w:lineRule="auto"/>
        <w:jc w:val="both"/>
        <w:rPr>
          <w:rFonts w:asciiTheme="minorHAnsi" w:hAnsiTheme="minorHAnsi" w:cstheme="minorHAnsi"/>
        </w:rPr>
      </w:pPr>
      <w:r w:rsidRPr="001D15EE">
        <w:rPr>
          <w:rFonts w:asciiTheme="minorHAnsi" w:hAnsiTheme="minorHAnsi" w:cstheme="minorHAnsi"/>
          <w:sz w:val="22"/>
          <w:szCs w:val="22"/>
        </w:rPr>
        <w:t xml:space="preserve">The following persons contributed to this expert opinion: </w:t>
      </w:r>
      <w:r w:rsidR="002171F6" w:rsidRPr="001D15EE">
        <w:rPr>
          <w:rFonts w:asciiTheme="minorHAnsi" w:hAnsiTheme="minorHAnsi" w:cstheme="minorHAnsi"/>
          <w:sz w:val="22"/>
          <w:szCs w:val="22"/>
        </w:rPr>
        <w:t xml:space="preserve">Samuel Ballin, </w:t>
      </w:r>
      <w:r w:rsidRPr="001D15EE">
        <w:rPr>
          <w:rFonts w:asciiTheme="minorHAnsi" w:hAnsiTheme="minorHAnsi" w:cstheme="minorHAnsi"/>
          <w:sz w:val="22"/>
          <w:szCs w:val="22"/>
        </w:rPr>
        <w:t xml:space="preserve">Ella Bergel, </w:t>
      </w:r>
      <w:r w:rsidR="002171F6" w:rsidRPr="001D15EE">
        <w:rPr>
          <w:rFonts w:asciiTheme="minorHAnsi" w:hAnsiTheme="minorHAnsi" w:cstheme="minorHAnsi"/>
          <w:sz w:val="22"/>
          <w:szCs w:val="22"/>
        </w:rPr>
        <w:t xml:space="preserve">Keshava Gunaratne, </w:t>
      </w:r>
      <w:r w:rsidRPr="001D15EE">
        <w:rPr>
          <w:rFonts w:asciiTheme="minorHAnsi" w:hAnsiTheme="minorHAnsi" w:cstheme="minorHAnsi"/>
          <w:sz w:val="22"/>
          <w:szCs w:val="22"/>
        </w:rPr>
        <w:t xml:space="preserve">Marijan Vrhovac </w:t>
      </w:r>
      <w:r w:rsidR="002171F6" w:rsidRPr="001D15EE">
        <w:rPr>
          <w:rFonts w:asciiTheme="minorHAnsi" w:hAnsiTheme="minorHAnsi" w:cstheme="minorHAnsi"/>
          <w:sz w:val="22"/>
          <w:szCs w:val="22"/>
        </w:rPr>
        <w:t>and Marie-</w:t>
      </w:r>
      <w:r w:rsidR="002171F6" w:rsidRPr="004E1F47">
        <w:rPr>
          <w:rFonts w:asciiTheme="minorHAnsi" w:hAnsiTheme="minorHAnsi" w:cstheme="minorHAnsi"/>
          <w:sz w:val="22"/>
          <w:szCs w:val="22"/>
        </w:rPr>
        <w:t xml:space="preserve">Theres Wagner </w:t>
      </w:r>
      <w:r w:rsidRPr="004E1F47">
        <w:rPr>
          <w:rFonts w:asciiTheme="minorHAnsi" w:hAnsiTheme="minorHAnsi" w:cstheme="minorHAnsi"/>
          <w:sz w:val="22"/>
          <w:szCs w:val="22"/>
        </w:rPr>
        <w:t xml:space="preserve">(students), </w:t>
      </w:r>
      <w:r w:rsidR="004958C0" w:rsidRPr="004E1F47">
        <w:rPr>
          <w:rFonts w:asciiTheme="minorHAnsi" w:hAnsiTheme="minorHAnsi" w:cstheme="minorHAnsi"/>
          <w:sz w:val="22"/>
          <w:szCs w:val="22"/>
        </w:rPr>
        <w:t xml:space="preserve">mr. dr. </w:t>
      </w:r>
      <w:r w:rsidR="002171F6" w:rsidRPr="004E1F47">
        <w:rPr>
          <w:rFonts w:asciiTheme="minorHAnsi" w:hAnsiTheme="minorHAnsi" w:cstheme="minorHAnsi"/>
          <w:sz w:val="22"/>
          <w:szCs w:val="22"/>
        </w:rPr>
        <w:t>Galina Cornelisse</w:t>
      </w:r>
      <w:r w:rsidRPr="004E1F47">
        <w:rPr>
          <w:rFonts w:asciiTheme="minorHAnsi" w:hAnsiTheme="minorHAnsi" w:cstheme="minorHAnsi"/>
          <w:sz w:val="22"/>
          <w:szCs w:val="22"/>
        </w:rPr>
        <w:t xml:space="preserve"> (supervisor)</w:t>
      </w:r>
      <w:r w:rsidR="00810F40" w:rsidRPr="004E1F47">
        <w:rPr>
          <w:rFonts w:asciiTheme="minorHAnsi" w:hAnsiTheme="minorHAnsi" w:cstheme="minorHAnsi"/>
          <w:sz w:val="22"/>
          <w:szCs w:val="22"/>
        </w:rPr>
        <w:t xml:space="preserve"> and</w:t>
      </w:r>
      <w:r w:rsidRPr="004E1F47">
        <w:rPr>
          <w:rFonts w:asciiTheme="minorHAnsi" w:hAnsiTheme="minorHAnsi" w:cstheme="minorHAnsi"/>
          <w:sz w:val="22"/>
          <w:szCs w:val="22"/>
        </w:rPr>
        <w:t xml:space="preserve"> mr. dr. Marcelle Reneman (</w:t>
      </w:r>
      <w:r w:rsidR="002171F6" w:rsidRPr="004E1F47">
        <w:rPr>
          <w:rFonts w:asciiTheme="minorHAnsi" w:hAnsiTheme="minorHAnsi" w:cstheme="minorHAnsi"/>
          <w:sz w:val="22"/>
          <w:szCs w:val="22"/>
        </w:rPr>
        <w:t xml:space="preserve">supervisor and </w:t>
      </w:r>
      <w:r w:rsidRPr="004E1F47">
        <w:rPr>
          <w:rFonts w:asciiTheme="minorHAnsi" w:hAnsiTheme="minorHAnsi" w:cstheme="minorHAnsi"/>
          <w:sz w:val="22"/>
          <w:szCs w:val="22"/>
        </w:rPr>
        <w:t>coordinator).</w:t>
      </w:r>
      <w:r w:rsidR="00047AC9" w:rsidRPr="004E1F47">
        <w:rPr>
          <w:rFonts w:asciiTheme="minorHAnsi" w:hAnsiTheme="minorHAnsi" w:cstheme="minorHAnsi"/>
          <w:sz w:val="22"/>
          <w:szCs w:val="22"/>
        </w:rPr>
        <w:t xml:space="preserve"> We would like to thank </w:t>
      </w:r>
      <w:r w:rsidR="00BD7DE8">
        <w:rPr>
          <w:rFonts w:asciiTheme="minorHAnsi" w:hAnsiTheme="minorHAnsi" w:cstheme="minorHAnsi"/>
          <w:sz w:val="22"/>
          <w:szCs w:val="22"/>
        </w:rPr>
        <w:t xml:space="preserve">John, </w:t>
      </w:r>
      <w:proofErr w:type="spellStart"/>
      <w:r w:rsidR="00BD7DE8">
        <w:rPr>
          <w:rFonts w:asciiTheme="minorHAnsi" w:hAnsiTheme="minorHAnsi" w:cstheme="minorHAnsi"/>
          <w:sz w:val="22"/>
          <w:szCs w:val="22"/>
        </w:rPr>
        <w:t>Bouwman</w:t>
      </w:r>
      <w:proofErr w:type="spellEnd"/>
      <w:r w:rsidR="00BD7DE8">
        <w:rPr>
          <w:rFonts w:asciiTheme="minorHAnsi" w:hAnsiTheme="minorHAnsi" w:cstheme="minorHAnsi"/>
          <w:sz w:val="22"/>
          <w:szCs w:val="22"/>
        </w:rPr>
        <w:t xml:space="preserve">, </w:t>
      </w:r>
      <w:proofErr w:type="spellStart"/>
      <w:r w:rsidR="004E1F47" w:rsidRPr="004E1F47">
        <w:rPr>
          <w:rFonts w:asciiTheme="minorHAnsi" w:hAnsiTheme="minorHAnsi" w:cstheme="minorHAnsi"/>
          <w:sz w:val="22"/>
          <w:szCs w:val="22"/>
        </w:rPr>
        <w:t>Katelijne</w:t>
      </w:r>
      <w:proofErr w:type="spellEnd"/>
      <w:r w:rsidR="004E1F47" w:rsidRPr="004E1F47">
        <w:rPr>
          <w:rFonts w:asciiTheme="minorHAnsi" w:hAnsiTheme="minorHAnsi" w:cstheme="minorHAnsi"/>
          <w:sz w:val="22"/>
          <w:szCs w:val="22"/>
        </w:rPr>
        <w:t xml:space="preserve"> </w:t>
      </w:r>
      <w:proofErr w:type="spellStart"/>
      <w:r w:rsidR="004E1F47" w:rsidRPr="004E1F47">
        <w:rPr>
          <w:rFonts w:asciiTheme="minorHAnsi" w:hAnsiTheme="minorHAnsi" w:cstheme="minorHAnsi"/>
          <w:sz w:val="22"/>
          <w:szCs w:val="22"/>
        </w:rPr>
        <w:t>Declerck</w:t>
      </w:r>
      <w:proofErr w:type="spellEnd"/>
      <w:r w:rsidR="004E1F47" w:rsidRPr="004E1F47">
        <w:rPr>
          <w:rFonts w:asciiTheme="minorHAnsi" w:hAnsiTheme="minorHAnsi" w:cstheme="minorHAnsi"/>
          <w:sz w:val="22"/>
          <w:szCs w:val="22"/>
        </w:rPr>
        <w:t xml:space="preserve">, </w:t>
      </w:r>
      <w:r w:rsidR="004E1F47" w:rsidRPr="004E1F47">
        <w:rPr>
          <w:rFonts w:asciiTheme="minorHAnsi" w:hAnsiTheme="minorHAnsi" w:cstheme="minorHAnsi"/>
          <w:sz w:val="22"/>
          <w:szCs w:val="22"/>
          <w:lang w:val="en-US"/>
        </w:rPr>
        <w:t xml:space="preserve">Judith Gleeson, </w:t>
      </w:r>
      <w:r w:rsidR="00047AC9" w:rsidRPr="004E1F47">
        <w:rPr>
          <w:rFonts w:asciiTheme="minorHAnsi" w:hAnsiTheme="minorHAnsi" w:cstheme="minorHAnsi"/>
          <w:sz w:val="22"/>
          <w:szCs w:val="22"/>
          <w:lang w:val="en-US"/>
        </w:rPr>
        <w:t xml:space="preserve">Nicolai Kaniess, </w:t>
      </w:r>
      <w:r w:rsidR="004E1F47" w:rsidRPr="004E1F47">
        <w:rPr>
          <w:rFonts w:asciiTheme="minorHAnsi" w:hAnsiTheme="minorHAnsi" w:cstheme="minorHAnsi"/>
          <w:sz w:val="22"/>
          <w:szCs w:val="22"/>
          <w:lang w:val="en-US"/>
        </w:rPr>
        <w:t xml:space="preserve">Marleen Maes, </w:t>
      </w:r>
      <w:r w:rsidR="004E1F47" w:rsidRPr="004E1F47">
        <w:rPr>
          <w:rFonts w:asciiTheme="minorHAnsi" w:hAnsiTheme="minorHAnsi" w:cstheme="minorBidi"/>
          <w:sz w:val="22"/>
          <w:szCs w:val="22"/>
        </w:rPr>
        <w:t>Ruxandra Staicu, Ulrich Stege and</w:t>
      </w:r>
      <w:r w:rsidR="004E1F47" w:rsidRPr="004E1F47">
        <w:rPr>
          <w:rFonts w:asciiTheme="minorHAnsi" w:hAnsiTheme="minorHAnsi" w:cstheme="minorHAnsi"/>
          <w:sz w:val="22"/>
          <w:szCs w:val="22"/>
        </w:rPr>
        <w:t xml:space="preserve"> </w:t>
      </w:r>
      <w:r w:rsidR="00047AC9" w:rsidRPr="004E1F47">
        <w:rPr>
          <w:rFonts w:asciiTheme="minorHAnsi" w:hAnsiTheme="minorHAnsi" w:cstheme="minorHAnsi"/>
          <w:sz w:val="22"/>
          <w:szCs w:val="22"/>
        </w:rPr>
        <w:t>Jana Zunker</w:t>
      </w:r>
      <w:r w:rsidR="004E1F47" w:rsidRPr="004E1F47">
        <w:rPr>
          <w:rFonts w:asciiTheme="minorHAnsi" w:hAnsiTheme="minorHAnsi" w:cstheme="minorHAnsi"/>
          <w:sz w:val="22"/>
          <w:szCs w:val="22"/>
        </w:rPr>
        <w:t xml:space="preserve"> for the help and/or information they provided in the context of our research. </w:t>
      </w:r>
    </w:p>
    <w:p w14:paraId="5F19EEAF" w14:textId="77777777" w:rsidR="005558CF" w:rsidRPr="001D15EE" w:rsidRDefault="005558CF" w:rsidP="007F72D6">
      <w:pPr>
        <w:spacing w:line="276" w:lineRule="auto"/>
        <w:jc w:val="both"/>
        <w:rPr>
          <w:rFonts w:asciiTheme="minorHAnsi" w:hAnsiTheme="minorHAnsi" w:cstheme="minorHAnsi"/>
        </w:rPr>
      </w:pPr>
    </w:p>
    <w:p w14:paraId="00E69076" w14:textId="77777777" w:rsidR="005558CF" w:rsidRPr="001D15EE" w:rsidRDefault="005558CF" w:rsidP="007F72D6">
      <w:pPr>
        <w:spacing w:line="276" w:lineRule="auto"/>
        <w:jc w:val="both"/>
        <w:rPr>
          <w:rFonts w:asciiTheme="minorHAnsi" w:hAnsiTheme="minorHAnsi" w:cstheme="minorHAnsi"/>
        </w:rPr>
      </w:pPr>
    </w:p>
    <w:p w14:paraId="2840AD06" w14:textId="77777777" w:rsidR="005558CF" w:rsidRPr="001D15EE" w:rsidRDefault="005558CF" w:rsidP="007F72D6">
      <w:pPr>
        <w:spacing w:line="276" w:lineRule="auto"/>
        <w:jc w:val="both"/>
        <w:rPr>
          <w:rFonts w:asciiTheme="minorHAnsi" w:hAnsiTheme="minorHAnsi" w:cstheme="minorHAnsi"/>
        </w:rPr>
      </w:pPr>
    </w:p>
    <w:p w14:paraId="543A94D3" w14:textId="77777777" w:rsidR="005558CF" w:rsidRPr="001D15EE" w:rsidRDefault="005558CF" w:rsidP="007F72D6">
      <w:pPr>
        <w:spacing w:line="276" w:lineRule="auto"/>
        <w:jc w:val="both"/>
        <w:rPr>
          <w:rFonts w:asciiTheme="minorHAnsi" w:hAnsiTheme="minorHAnsi" w:cstheme="minorHAnsi"/>
        </w:rPr>
      </w:pPr>
    </w:p>
    <w:p w14:paraId="666C393B" w14:textId="77777777" w:rsidR="005558CF" w:rsidRPr="001D15EE" w:rsidRDefault="005558CF" w:rsidP="007F72D6">
      <w:pPr>
        <w:spacing w:line="276" w:lineRule="auto"/>
        <w:jc w:val="both"/>
        <w:rPr>
          <w:rFonts w:asciiTheme="minorHAnsi" w:hAnsiTheme="minorHAnsi" w:cstheme="minorHAnsi"/>
        </w:rPr>
      </w:pPr>
    </w:p>
    <w:p w14:paraId="60DC7508" w14:textId="77777777" w:rsidR="005558CF" w:rsidRPr="001D15EE" w:rsidRDefault="005558CF" w:rsidP="007F72D6">
      <w:pPr>
        <w:spacing w:line="276" w:lineRule="auto"/>
        <w:jc w:val="both"/>
        <w:rPr>
          <w:rFonts w:asciiTheme="minorHAnsi" w:hAnsiTheme="minorHAnsi" w:cstheme="minorHAnsi"/>
        </w:rPr>
      </w:pPr>
    </w:p>
    <w:p w14:paraId="0482A3A1" w14:textId="77777777" w:rsidR="005558CF" w:rsidRPr="001D15EE" w:rsidRDefault="005558CF" w:rsidP="007F72D6">
      <w:pPr>
        <w:spacing w:line="276" w:lineRule="auto"/>
        <w:jc w:val="both"/>
        <w:rPr>
          <w:rFonts w:asciiTheme="minorHAnsi" w:hAnsiTheme="minorHAnsi" w:cstheme="minorHAnsi"/>
        </w:rPr>
      </w:pPr>
    </w:p>
    <w:p w14:paraId="22CC044C" w14:textId="77777777" w:rsidR="005558CF" w:rsidRPr="001D15EE" w:rsidRDefault="005558CF" w:rsidP="007F72D6">
      <w:pPr>
        <w:spacing w:line="276" w:lineRule="auto"/>
        <w:jc w:val="both"/>
        <w:rPr>
          <w:rFonts w:asciiTheme="minorHAnsi" w:hAnsiTheme="minorHAnsi" w:cstheme="minorHAnsi"/>
        </w:rPr>
      </w:pPr>
    </w:p>
    <w:p w14:paraId="07CDA2EB" w14:textId="77777777" w:rsidR="005558CF" w:rsidRPr="001D15EE" w:rsidRDefault="005558CF" w:rsidP="007F72D6">
      <w:pPr>
        <w:spacing w:line="276" w:lineRule="auto"/>
        <w:jc w:val="both"/>
        <w:rPr>
          <w:rFonts w:asciiTheme="minorHAnsi" w:hAnsiTheme="minorHAnsi" w:cstheme="minorHAnsi"/>
        </w:rPr>
      </w:pPr>
    </w:p>
    <w:p w14:paraId="76EFB389" w14:textId="77777777" w:rsidR="005558CF" w:rsidRPr="001D15EE" w:rsidRDefault="005558CF" w:rsidP="007F72D6">
      <w:pPr>
        <w:spacing w:line="276" w:lineRule="auto"/>
        <w:jc w:val="both"/>
        <w:rPr>
          <w:rFonts w:asciiTheme="minorHAnsi" w:hAnsiTheme="minorHAnsi" w:cstheme="minorHAnsi"/>
        </w:rPr>
      </w:pPr>
    </w:p>
    <w:p w14:paraId="64C78860" w14:textId="77777777" w:rsidR="005558CF" w:rsidRPr="001D15EE" w:rsidRDefault="005558CF" w:rsidP="007F72D6">
      <w:pPr>
        <w:spacing w:line="276" w:lineRule="auto"/>
        <w:jc w:val="both"/>
        <w:rPr>
          <w:rFonts w:asciiTheme="minorHAnsi" w:hAnsiTheme="minorHAnsi" w:cstheme="minorHAnsi"/>
        </w:rPr>
      </w:pPr>
    </w:p>
    <w:p w14:paraId="55C7C395" w14:textId="77777777" w:rsidR="005558CF" w:rsidRPr="001D15EE" w:rsidRDefault="005558CF" w:rsidP="007F72D6">
      <w:pPr>
        <w:spacing w:line="276" w:lineRule="auto"/>
        <w:jc w:val="both"/>
        <w:rPr>
          <w:rFonts w:asciiTheme="minorHAnsi" w:hAnsiTheme="minorHAnsi" w:cstheme="minorHAnsi"/>
        </w:rPr>
      </w:pPr>
    </w:p>
    <w:p w14:paraId="6BA71CDE" w14:textId="77777777" w:rsidR="005558CF" w:rsidRPr="001D15EE" w:rsidRDefault="005558CF" w:rsidP="007F72D6">
      <w:pPr>
        <w:spacing w:line="276" w:lineRule="auto"/>
        <w:jc w:val="both"/>
        <w:rPr>
          <w:rFonts w:asciiTheme="minorHAnsi" w:hAnsiTheme="minorHAnsi" w:cstheme="minorHAnsi"/>
        </w:rPr>
      </w:pPr>
    </w:p>
    <w:p w14:paraId="050B6684" w14:textId="77777777" w:rsidR="005558CF" w:rsidRPr="001D15EE" w:rsidRDefault="005558CF" w:rsidP="007F72D6">
      <w:pPr>
        <w:spacing w:line="276" w:lineRule="auto"/>
        <w:jc w:val="both"/>
        <w:rPr>
          <w:rFonts w:asciiTheme="minorHAnsi" w:hAnsiTheme="minorHAnsi" w:cstheme="minorHAnsi"/>
        </w:rPr>
      </w:pPr>
    </w:p>
    <w:p w14:paraId="21687ECB" w14:textId="77777777" w:rsidR="005558CF" w:rsidRPr="001D15EE" w:rsidRDefault="005558CF" w:rsidP="007F72D6">
      <w:pPr>
        <w:spacing w:line="276" w:lineRule="auto"/>
        <w:jc w:val="both"/>
        <w:rPr>
          <w:rFonts w:asciiTheme="minorHAnsi" w:hAnsiTheme="minorHAnsi" w:cstheme="minorHAnsi"/>
        </w:rPr>
      </w:pPr>
    </w:p>
    <w:p w14:paraId="40D4E4FF" w14:textId="77777777" w:rsidR="005558CF" w:rsidRPr="001D15EE" w:rsidRDefault="005558CF" w:rsidP="007F72D6">
      <w:pPr>
        <w:spacing w:line="276" w:lineRule="auto"/>
        <w:jc w:val="both"/>
        <w:rPr>
          <w:rFonts w:asciiTheme="minorHAnsi" w:hAnsiTheme="minorHAnsi" w:cstheme="minorHAnsi"/>
        </w:rPr>
      </w:pPr>
    </w:p>
    <w:p w14:paraId="1DD398A3" w14:textId="6FA5D330" w:rsidR="000279A3" w:rsidRPr="001D15EE" w:rsidRDefault="000279A3" w:rsidP="007F72D6">
      <w:pPr>
        <w:spacing w:line="276" w:lineRule="auto"/>
        <w:jc w:val="both"/>
        <w:rPr>
          <w:rFonts w:asciiTheme="minorHAnsi" w:hAnsiTheme="minorHAnsi" w:cstheme="minorHAnsi"/>
        </w:rPr>
      </w:pPr>
    </w:p>
    <w:p w14:paraId="47A3DBA3" w14:textId="77777777" w:rsidR="008D6508" w:rsidRPr="001D15EE" w:rsidRDefault="008D6508" w:rsidP="007F72D6">
      <w:pPr>
        <w:spacing w:line="276" w:lineRule="auto"/>
        <w:jc w:val="both"/>
        <w:rPr>
          <w:rFonts w:asciiTheme="minorHAnsi" w:hAnsiTheme="minorHAnsi" w:cstheme="minorHAnsi"/>
        </w:rPr>
      </w:pPr>
    </w:p>
    <w:p w14:paraId="063F7EA6" w14:textId="77777777" w:rsidR="000279A3" w:rsidRPr="001D15EE" w:rsidRDefault="000279A3" w:rsidP="007F72D6">
      <w:pPr>
        <w:spacing w:line="276" w:lineRule="auto"/>
        <w:jc w:val="both"/>
        <w:rPr>
          <w:rFonts w:asciiTheme="minorHAnsi" w:hAnsiTheme="minorHAnsi" w:cstheme="minorHAnsi"/>
        </w:rPr>
      </w:pPr>
    </w:p>
    <w:p w14:paraId="3A748B50" w14:textId="77777777" w:rsidR="005558CF" w:rsidRPr="001D15EE" w:rsidRDefault="005558CF" w:rsidP="007F72D6">
      <w:pPr>
        <w:spacing w:line="276" w:lineRule="auto"/>
        <w:jc w:val="both"/>
        <w:rPr>
          <w:rFonts w:asciiTheme="minorHAnsi" w:hAnsiTheme="minorHAnsi" w:cstheme="minorHAnsi"/>
        </w:rPr>
      </w:pPr>
    </w:p>
    <w:p w14:paraId="241153E1" w14:textId="388EA7BD" w:rsidR="005558CF" w:rsidRPr="001D15EE" w:rsidRDefault="005558CF" w:rsidP="007F72D6">
      <w:pPr>
        <w:spacing w:line="276" w:lineRule="auto"/>
        <w:rPr>
          <w:rFonts w:asciiTheme="minorHAnsi" w:hAnsiTheme="minorHAnsi" w:cstheme="minorHAnsi"/>
          <w:sz w:val="22"/>
          <w:szCs w:val="22"/>
        </w:rPr>
      </w:pPr>
      <w:r w:rsidRPr="001D15EE">
        <w:rPr>
          <w:rFonts w:asciiTheme="minorHAnsi" w:hAnsiTheme="minorHAnsi" w:cstheme="minorHAnsi"/>
          <w:sz w:val="22"/>
          <w:szCs w:val="22"/>
        </w:rPr>
        <w:t>© Migration Law Clinic 202</w:t>
      </w:r>
      <w:r w:rsidR="002171F6" w:rsidRPr="001D15EE">
        <w:rPr>
          <w:rFonts w:asciiTheme="minorHAnsi" w:hAnsiTheme="minorHAnsi" w:cstheme="minorHAnsi"/>
          <w:sz w:val="22"/>
          <w:szCs w:val="22"/>
        </w:rPr>
        <w:t>1</w:t>
      </w:r>
    </w:p>
    <w:p w14:paraId="47CBB415" w14:textId="77777777" w:rsidR="005558CF" w:rsidRPr="001D15EE" w:rsidRDefault="005558CF" w:rsidP="007F72D6">
      <w:pPr>
        <w:spacing w:line="276" w:lineRule="auto"/>
        <w:rPr>
          <w:rFonts w:asciiTheme="minorHAnsi" w:hAnsiTheme="minorHAnsi" w:cstheme="minorHAnsi"/>
          <w:sz w:val="22"/>
          <w:szCs w:val="22"/>
        </w:rPr>
      </w:pPr>
      <w:r w:rsidRPr="001D15EE">
        <w:rPr>
          <w:rFonts w:asciiTheme="minorHAnsi" w:hAnsiTheme="minorHAnsi" w:cstheme="minorHAnsi"/>
          <w:sz w:val="22"/>
          <w:szCs w:val="22"/>
        </w:rPr>
        <w:t xml:space="preserve">This expert opinion is copyright, but may be reproduced by any method, but not for resale. For any inquiries please contact </w:t>
      </w:r>
      <w:hyperlink r:id="rId12">
        <w:r w:rsidRPr="001D15EE">
          <w:rPr>
            <w:rFonts w:asciiTheme="minorHAnsi" w:hAnsiTheme="minorHAnsi" w:cstheme="minorHAnsi"/>
            <w:color w:val="1155CC"/>
            <w:sz w:val="22"/>
            <w:szCs w:val="22"/>
            <w:u w:val="single"/>
          </w:rPr>
          <w:t>migrationlawclinic@vu.nl</w:t>
        </w:r>
      </w:hyperlink>
      <w:r w:rsidRPr="001D15EE">
        <w:rPr>
          <w:rFonts w:asciiTheme="minorHAnsi" w:hAnsiTheme="minorHAnsi" w:cstheme="minorHAnsi"/>
          <w:sz w:val="22"/>
          <w:szCs w:val="22"/>
        </w:rPr>
        <w:t>. Available online at: www.migrationlawclinic.org.</w:t>
      </w:r>
    </w:p>
    <w:p w14:paraId="5AA4F3A0" w14:textId="77777777" w:rsidR="005558CF" w:rsidRPr="001D15EE" w:rsidRDefault="005558CF" w:rsidP="007F72D6">
      <w:pPr>
        <w:spacing w:line="276" w:lineRule="auto"/>
        <w:rPr>
          <w:rFonts w:asciiTheme="minorHAnsi" w:hAnsiTheme="minorHAnsi" w:cstheme="minorHAnsi"/>
          <w:b/>
          <w:color w:val="000000" w:themeColor="text1"/>
          <w:sz w:val="28"/>
          <w:szCs w:val="28"/>
        </w:rPr>
      </w:pPr>
      <w:r w:rsidRPr="001D15EE">
        <w:rPr>
          <w:rFonts w:asciiTheme="minorHAnsi" w:hAnsiTheme="minorHAnsi" w:cstheme="minorHAnsi"/>
          <w:b/>
          <w:color w:val="000000" w:themeColor="text1"/>
          <w:sz w:val="28"/>
          <w:szCs w:val="28"/>
        </w:rPr>
        <w:br w:type="page"/>
      </w:r>
    </w:p>
    <w:sdt>
      <w:sdtPr>
        <w:rPr>
          <w:rFonts w:asciiTheme="minorHAnsi" w:eastAsia="Times New Roman" w:hAnsiTheme="minorHAnsi" w:cstheme="minorHAnsi"/>
          <w:bCs w:val="0"/>
          <w:color w:val="auto"/>
          <w:sz w:val="24"/>
          <w:szCs w:val="24"/>
          <w:lang w:val="nl-NL"/>
        </w:rPr>
        <w:id w:val="256262917"/>
        <w:docPartObj>
          <w:docPartGallery w:val="Table of Contents"/>
          <w:docPartUnique/>
        </w:docPartObj>
      </w:sdtPr>
      <w:sdtEndPr>
        <w:rPr>
          <w:b/>
          <w:lang w:val="en-GB"/>
        </w:rPr>
      </w:sdtEndPr>
      <w:sdtContent>
        <w:p w14:paraId="00B1BE27" w14:textId="35F5B723" w:rsidR="00555FA2" w:rsidRPr="00050790" w:rsidRDefault="00555FA2">
          <w:pPr>
            <w:pStyle w:val="TOCHeading"/>
            <w:rPr>
              <w:rFonts w:asciiTheme="minorHAnsi" w:hAnsiTheme="minorHAnsi" w:cstheme="minorHAnsi"/>
            </w:rPr>
          </w:pPr>
          <w:r w:rsidRPr="00050790">
            <w:rPr>
              <w:rFonts w:asciiTheme="minorHAnsi" w:hAnsiTheme="minorHAnsi" w:cstheme="minorHAnsi"/>
              <w:lang w:val="nl-NL"/>
            </w:rPr>
            <w:t>Table of Contents</w:t>
          </w:r>
        </w:p>
        <w:p w14:paraId="2DEDD180" w14:textId="390C04FB" w:rsidR="00050790" w:rsidRPr="00050790" w:rsidRDefault="00555FA2">
          <w:pPr>
            <w:pStyle w:val="TOC1"/>
            <w:tabs>
              <w:tab w:val="left" w:pos="480"/>
              <w:tab w:val="right" w:leader="dot" w:pos="9056"/>
            </w:tabs>
            <w:rPr>
              <w:rFonts w:asciiTheme="minorHAnsi" w:eastAsiaTheme="minorEastAsia" w:hAnsiTheme="minorHAnsi" w:cstheme="minorHAnsi"/>
              <w:b w:val="0"/>
              <w:bCs w:val="0"/>
              <w:caps w:val="0"/>
              <w:noProof/>
              <w:sz w:val="22"/>
              <w:szCs w:val="22"/>
              <w:lang w:val="nl-NL"/>
            </w:rPr>
          </w:pPr>
          <w:r w:rsidRPr="00050790">
            <w:rPr>
              <w:rFonts w:asciiTheme="minorHAnsi" w:hAnsiTheme="minorHAnsi" w:cstheme="minorHAnsi"/>
            </w:rPr>
            <w:fldChar w:fldCharType="begin"/>
          </w:r>
          <w:r w:rsidRPr="00050790">
            <w:rPr>
              <w:rFonts w:asciiTheme="minorHAnsi" w:hAnsiTheme="minorHAnsi" w:cstheme="minorHAnsi"/>
            </w:rPr>
            <w:instrText xml:space="preserve"> TOC \o "1-3" \h \z \u </w:instrText>
          </w:r>
          <w:r w:rsidRPr="00050790">
            <w:rPr>
              <w:rFonts w:asciiTheme="minorHAnsi" w:hAnsiTheme="minorHAnsi" w:cstheme="minorHAnsi"/>
            </w:rPr>
            <w:fldChar w:fldCharType="separate"/>
          </w:r>
          <w:hyperlink w:anchor="_Toc66828018" w:history="1">
            <w:r w:rsidR="00050790" w:rsidRPr="00050790">
              <w:rPr>
                <w:rStyle w:val="Hyperlink"/>
                <w:rFonts w:asciiTheme="minorHAnsi" w:hAnsiTheme="minorHAnsi" w:cstheme="minorHAnsi"/>
                <w:noProof/>
              </w:rPr>
              <w:t xml:space="preserve">1. </w:t>
            </w:r>
            <w:r w:rsidR="00050790" w:rsidRPr="00050790">
              <w:rPr>
                <w:rFonts w:asciiTheme="minorHAnsi" w:eastAsiaTheme="minorEastAsia" w:hAnsiTheme="minorHAnsi" w:cstheme="minorHAnsi"/>
                <w:b w:val="0"/>
                <w:bCs w:val="0"/>
                <w:caps w:val="0"/>
                <w:noProof/>
                <w:sz w:val="22"/>
                <w:szCs w:val="22"/>
                <w:lang w:val="nl-NL"/>
              </w:rPr>
              <w:tab/>
            </w:r>
            <w:r w:rsidR="00050790" w:rsidRPr="00050790">
              <w:rPr>
                <w:rStyle w:val="Hyperlink"/>
                <w:rFonts w:asciiTheme="minorHAnsi" w:hAnsiTheme="minorHAnsi" w:cstheme="minorHAnsi"/>
                <w:noProof/>
              </w:rPr>
              <w:t>Introduction</w:t>
            </w:r>
            <w:r w:rsidR="00050790" w:rsidRPr="00050790">
              <w:rPr>
                <w:rFonts w:asciiTheme="minorHAnsi" w:hAnsiTheme="minorHAnsi" w:cstheme="minorHAnsi"/>
                <w:noProof/>
                <w:webHidden/>
              </w:rPr>
              <w:tab/>
            </w:r>
            <w:r w:rsidR="00050790" w:rsidRPr="00050790">
              <w:rPr>
                <w:rFonts w:asciiTheme="minorHAnsi" w:hAnsiTheme="minorHAnsi" w:cstheme="minorHAnsi"/>
                <w:noProof/>
                <w:webHidden/>
              </w:rPr>
              <w:fldChar w:fldCharType="begin"/>
            </w:r>
            <w:r w:rsidR="00050790" w:rsidRPr="00050790">
              <w:rPr>
                <w:rFonts w:asciiTheme="minorHAnsi" w:hAnsiTheme="minorHAnsi" w:cstheme="minorHAnsi"/>
                <w:noProof/>
                <w:webHidden/>
              </w:rPr>
              <w:instrText xml:space="preserve"> PAGEREF _Toc66828018 \h </w:instrText>
            </w:r>
            <w:r w:rsidR="00050790" w:rsidRPr="00050790">
              <w:rPr>
                <w:rFonts w:asciiTheme="minorHAnsi" w:hAnsiTheme="minorHAnsi" w:cstheme="minorHAnsi"/>
                <w:noProof/>
                <w:webHidden/>
              </w:rPr>
            </w:r>
            <w:r w:rsidR="00050790" w:rsidRPr="00050790">
              <w:rPr>
                <w:rFonts w:asciiTheme="minorHAnsi" w:hAnsiTheme="minorHAnsi" w:cstheme="minorHAnsi"/>
                <w:noProof/>
                <w:webHidden/>
              </w:rPr>
              <w:fldChar w:fldCharType="separate"/>
            </w:r>
            <w:r w:rsidR="002E0791">
              <w:rPr>
                <w:rFonts w:asciiTheme="minorHAnsi" w:hAnsiTheme="minorHAnsi" w:cstheme="minorHAnsi"/>
                <w:noProof/>
                <w:webHidden/>
              </w:rPr>
              <w:t>4</w:t>
            </w:r>
            <w:r w:rsidR="00050790" w:rsidRPr="00050790">
              <w:rPr>
                <w:rFonts w:asciiTheme="minorHAnsi" w:hAnsiTheme="minorHAnsi" w:cstheme="minorHAnsi"/>
                <w:noProof/>
                <w:webHidden/>
              </w:rPr>
              <w:fldChar w:fldCharType="end"/>
            </w:r>
          </w:hyperlink>
        </w:p>
        <w:p w14:paraId="178ADB6B" w14:textId="4AD3DD64"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19" w:history="1">
            <w:r w:rsidR="00050790" w:rsidRPr="00050790">
              <w:rPr>
                <w:rStyle w:val="Hyperlink"/>
                <w:rFonts w:asciiTheme="minorHAnsi" w:hAnsiTheme="minorHAnsi" w:cstheme="minorHAnsi"/>
                <w:iCs/>
                <w:noProof/>
                <w:sz w:val="22"/>
                <w:szCs w:val="22"/>
              </w:rPr>
              <w:t xml:space="preserve">1.1 </w:t>
            </w:r>
            <w:r w:rsidR="00050790" w:rsidRPr="00050790">
              <w:rPr>
                <w:rStyle w:val="Hyperlink"/>
                <w:rFonts w:asciiTheme="minorHAnsi" w:hAnsiTheme="minorHAnsi" w:cstheme="minorHAnsi"/>
                <w:noProof/>
                <w:sz w:val="22"/>
                <w:szCs w:val="22"/>
              </w:rPr>
              <w:t xml:space="preserve">Prohibition, competence or requirement of </w:t>
            </w:r>
            <w:r w:rsidR="00050790" w:rsidRPr="00050790">
              <w:rPr>
                <w:rStyle w:val="Hyperlink"/>
                <w:rFonts w:asciiTheme="minorHAnsi" w:hAnsiTheme="minorHAnsi" w:cstheme="minorHAnsi"/>
                <w:i/>
                <w:iCs/>
                <w:noProof/>
                <w:sz w:val="22"/>
                <w:szCs w:val="22"/>
              </w:rPr>
              <w:t>ex officio</w:t>
            </w:r>
            <w:r w:rsidR="00050790" w:rsidRPr="00050790">
              <w:rPr>
                <w:rStyle w:val="Hyperlink"/>
                <w:rFonts w:asciiTheme="minorHAnsi" w:hAnsiTheme="minorHAnsi" w:cstheme="minorHAnsi"/>
                <w:noProof/>
                <w:sz w:val="22"/>
                <w:szCs w:val="22"/>
              </w:rPr>
              <w:t xml:space="preserve"> review?</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_Toc66828019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4</w:t>
            </w:r>
            <w:r w:rsidR="00050790" w:rsidRPr="00050790">
              <w:rPr>
                <w:rFonts w:asciiTheme="minorHAnsi" w:hAnsiTheme="minorHAnsi" w:cstheme="minorHAnsi"/>
                <w:noProof/>
                <w:webHidden/>
                <w:sz w:val="22"/>
                <w:szCs w:val="22"/>
              </w:rPr>
              <w:fldChar w:fldCharType="end"/>
            </w:r>
          </w:hyperlink>
        </w:p>
        <w:p w14:paraId="45104906" w14:textId="2144FF84"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20" w:history="1">
            <w:r w:rsidR="00050790" w:rsidRPr="00050790">
              <w:rPr>
                <w:rStyle w:val="Hyperlink"/>
                <w:rFonts w:asciiTheme="minorHAnsi" w:hAnsiTheme="minorHAnsi" w:cstheme="minorHAnsi"/>
                <w:noProof/>
                <w:sz w:val="22"/>
                <w:szCs w:val="22"/>
              </w:rPr>
              <w:t>1.2 Content and structure of this expert opinion</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_Toc66828020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5</w:t>
            </w:r>
            <w:r w:rsidR="00050790" w:rsidRPr="00050790">
              <w:rPr>
                <w:rFonts w:asciiTheme="minorHAnsi" w:hAnsiTheme="minorHAnsi" w:cstheme="minorHAnsi"/>
                <w:noProof/>
                <w:webHidden/>
                <w:sz w:val="22"/>
                <w:szCs w:val="22"/>
              </w:rPr>
              <w:fldChar w:fldCharType="end"/>
            </w:r>
          </w:hyperlink>
        </w:p>
        <w:p w14:paraId="1CCE4B04" w14:textId="183C57E7"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21" w:history="1">
            <w:r w:rsidR="00050790" w:rsidRPr="00050790">
              <w:rPr>
                <w:rStyle w:val="Hyperlink"/>
                <w:rFonts w:asciiTheme="minorHAnsi" w:hAnsiTheme="minorHAnsi" w:cstheme="minorHAnsi"/>
                <w:noProof/>
                <w:sz w:val="22"/>
                <w:szCs w:val="22"/>
              </w:rPr>
              <w:t>1.3 Methodology</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_Toc66828021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5</w:t>
            </w:r>
            <w:r w:rsidR="00050790" w:rsidRPr="00050790">
              <w:rPr>
                <w:rFonts w:asciiTheme="minorHAnsi" w:hAnsiTheme="minorHAnsi" w:cstheme="minorHAnsi"/>
                <w:noProof/>
                <w:webHidden/>
                <w:sz w:val="22"/>
                <w:szCs w:val="22"/>
              </w:rPr>
              <w:fldChar w:fldCharType="end"/>
            </w:r>
          </w:hyperlink>
        </w:p>
        <w:p w14:paraId="31209825" w14:textId="01014CEF" w:rsidR="00050790" w:rsidRPr="00050790" w:rsidRDefault="00697032">
          <w:pPr>
            <w:pStyle w:val="TOC1"/>
            <w:tabs>
              <w:tab w:val="left" w:pos="480"/>
              <w:tab w:val="right" w:leader="dot" w:pos="9056"/>
            </w:tabs>
            <w:rPr>
              <w:rFonts w:asciiTheme="minorHAnsi" w:eastAsiaTheme="minorEastAsia" w:hAnsiTheme="minorHAnsi" w:cstheme="minorHAnsi"/>
              <w:b w:val="0"/>
              <w:bCs w:val="0"/>
              <w:caps w:val="0"/>
              <w:noProof/>
              <w:sz w:val="22"/>
              <w:szCs w:val="22"/>
              <w:lang w:val="nl-NL"/>
            </w:rPr>
          </w:pPr>
          <w:hyperlink w:anchor="_Toc66828022" w:history="1">
            <w:r w:rsidR="00050790" w:rsidRPr="00050790">
              <w:rPr>
                <w:rStyle w:val="Hyperlink"/>
                <w:rFonts w:asciiTheme="minorHAnsi" w:hAnsiTheme="minorHAnsi" w:cstheme="minorHAnsi"/>
                <w:noProof/>
              </w:rPr>
              <w:t xml:space="preserve">2. </w:t>
            </w:r>
            <w:r w:rsidR="00050790" w:rsidRPr="00050790">
              <w:rPr>
                <w:rFonts w:asciiTheme="minorHAnsi" w:eastAsiaTheme="minorEastAsia" w:hAnsiTheme="minorHAnsi" w:cstheme="minorHAnsi"/>
                <w:b w:val="0"/>
                <w:bCs w:val="0"/>
                <w:caps w:val="0"/>
                <w:noProof/>
                <w:sz w:val="22"/>
                <w:szCs w:val="22"/>
                <w:lang w:val="nl-NL"/>
              </w:rPr>
              <w:tab/>
            </w:r>
            <w:r w:rsidR="00050790" w:rsidRPr="00050790">
              <w:rPr>
                <w:rStyle w:val="Hyperlink"/>
                <w:rFonts w:asciiTheme="minorHAnsi" w:hAnsiTheme="minorHAnsi" w:cstheme="minorHAnsi"/>
                <w:noProof/>
              </w:rPr>
              <w:t>Judicial review of detention measures in the Netherlands in practice</w:t>
            </w:r>
            <w:r w:rsidR="00050790" w:rsidRPr="00050790">
              <w:rPr>
                <w:rFonts w:asciiTheme="minorHAnsi" w:hAnsiTheme="minorHAnsi" w:cstheme="minorHAnsi"/>
                <w:noProof/>
                <w:webHidden/>
              </w:rPr>
              <w:tab/>
            </w:r>
            <w:r w:rsidR="00050790" w:rsidRPr="00050790">
              <w:rPr>
                <w:rFonts w:asciiTheme="minorHAnsi" w:hAnsiTheme="minorHAnsi" w:cstheme="minorHAnsi"/>
                <w:noProof/>
                <w:webHidden/>
              </w:rPr>
              <w:fldChar w:fldCharType="begin"/>
            </w:r>
            <w:r w:rsidR="00050790" w:rsidRPr="00050790">
              <w:rPr>
                <w:rFonts w:asciiTheme="minorHAnsi" w:hAnsiTheme="minorHAnsi" w:cstheme="minorHAnsi"/>
                <w:noProof/>
                <w:webHidden/>
              </w:rPr>
              <w:instrText xml:space="preserve"> PAGEREF _Toc66828022 \h </w:instrText>
            </w:r>
            <w:r w:rsidR="00050790" w:rsidRPr="00050790">
              <w:rPr>
                <w:rFonts w:asciiTheme="minorHAnsi" w:hAnsiTheme="minorHAnsi" w:cstheme="minorHAnsi"/>
                <w:noProof/>
                <w:webHidden/>
              </w:rPr>
            </w:r>
            <w:r w:rsidR="00050790" w:rsidRPr="00050790">
              <w:rPr>
                <w:rFonts w:asciiTheme="minorHAnsi" w:hAnsiTheme="minorHAnsi" w:cstheme="minorHAnsi"/>
                <w:noProof/>
                <w:webHidden/>
              </w:rPr>
              <w:fldChar w:fldCharType="separate"/>
            </w:r>
            <w:r w:rsidR="002E0791">
              <w:rPr>
                <w:rFonts w:asciiTheme="minorHAnsi" w:hAnsiTheme="minorHAnsi" w:cstheme="minorHAnsi"/>
                <w:noProof/>
                <w:webHidden/>
              </w:rPr>
              <w:t>7</w:t>
            </w:r>
            <w:r w:rsidR="00050790" w:rsidRPr="00050790">
              <w:rPr>
                <w:rFonts w:asciiTheme="minorHAnsi" w:hAnsiTheme="minorHAnsi" w:cstheme="minorHAnsi"/>
                <w:noProof/>
                <w:webHidden/>
              </w:rPr>
              <w:fldChar w:fldCharType="end"/>
            </w:r>
          </w:hyperlink>
        </w:p>
        <w:p w14:paraId="4A79860D" w14:textId="1FE19922"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23" w:history="1">
            <w:r w:rsidR="00050790" w:rsidRPr="00050790">
              <w:rPr>
                <w:rStyle w:val="Hyperlink"/>
                <w:rFonts w:asciiTheme="minorHAnsi" w:hAnsiTheme="minorHAnsi" w:cstheme="minorHAnsi"/>
                <w:noProof/>
                <w:sz w:val="22"/>
                <w:szCs w:val="22"/>
              </w:rPr>
              <w:t>2.1 The Dutch legal framework</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_Toc66828023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7</w:t>
            </w:r>
            <w:r w:rsidR="00050790" w:rsidRPr="00050790">
              <w:rPr>
                <w:rFonts w:asciiTheme="minorHAnsi" w:hAnsiTheme="minorHAnsi" w:cstheme="minorHAnsi"/>
                <w:noProof/>
                <w:webHidden/>
                <w:sz w:val="22"/>
                <w:szCs w:val="22"/>
              </w:rPr>
              <w:fldChar w:fldCharType="end"/>
            </w:r>
          </w:hyperlink>
        </w:p>
        <w:p w14:paraId="33188CEC" w14:textId="5657D305"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24" w:history="1">
            <w:r w:rsidR="00050790" w:rsidRPr="00050790">
              <w:rPr>
                <w:rStyle w:val="Hyperlink"/>
                <w:rFonts w:asciiTheme="minorHAnsi" w:hAnsiTheme="minorHAnsi" w:cstheme="minorHAnsi"/>
                <w:noProof/>
                <w:sz w:val="22"/>
                <w:szCs w:val="22"/>
              </w:rPr>
              <w:t xml:space="preserve">2.2 Courts comply with the prohibition of </w:t>
            </w:r>
            <w:r w:rsidR="00050790" w:rsidRPr="00050790">
              <w:rPr>
                <w:rStyle w:val="Hyperlink"/>
                <w:rFonts w:asciiTheme="minorHAnsi" w:hAnsiTheme="minorHAnsi" w:cstheme="minorHAnsi"/>
                <w:i/>
                <w:iCs/>
                <w:noProof/>
                <w:sz w:val="22"/>
                <w:szCs w:val="22"/>
              </w:rPr>
              <w:t xml:space="preserve">ex officio </w:t>
            </w:r>
            <w:r w:rsidR="00050790" w:rsidRPr="00050790">
              <w:rPr>
                <w:rStyle w:val="Hyperlink"/>
                <w:rFonts w:asciiTheme="minorHAnsi" w:hAnsiTheme="minorHAnsi" w:cstheme="minorHAnsi"/>
                <w:noProof/>
                <w:sz w:val="22"/>
                <w:szCs w:val="22"/>
              </w:rPr>
              <w:t>review in detention cases</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_Toc66828024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9</w:t>
            </w:r>
            <w:r w:rsidR="00050790" w:rsidRPr="00050790">
              <w:rPr>
                <w:rFonts w:asciiTheme="minorHAnsi" w:hAnsiTheme="minorHAnsi" w:cstheme="minorHAnsi"/>
                <w:noProof/>
                <w:webHidden/>
                <w:sz w:val="22"/>
                <w:szCs w:val="22"/>
              </w:rPr>
              <w:fldChar w:fldCharType="end"/>
            </w:r>
          </w:hyperlink>
        </w:p>
        <w:p w14:paraId="4FE2F84D" w14:textId="05D3E8CA"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25" w:history="1">
            <w:r w:rsidR="00050790" w:rsidRPr="00050790">
              <w:rPr>
                <w:rStyle w:val="Hyperlink"/>
                <w:rFonts w:asciiTheme="minorHAnsi" w:hAnsiTheme="minorHAnsi" w:cstheme="minorHAnsi"/>
                <w:noProof/>
                <w:sz w:val="22"/>
                <w:szCs w:val="22"/>
                <w:lang w:val="en-US"/>
              </w:rPr>
              <w:t xml:space="preserve">2.3 Disobedient courts: examples of </w:t>
            </w:r>
            <w:r w:rsidR="00050790" w:rsidRPr="00050790">
              <w:rPr>
                <w:rStyle w:val="Hyperlink"/>
                <w:rFonts w:asciiTheme="minorHAnsi" w:hAnsiTheme="minorHAnsi" w:cstheme="minorHAnsi"/>
                <w:i/>
                <w:iCs/>
                <w:noProof/>
                <w:sz w:val="22"/>
                <w:szCs w:val="22"/>
                <w:lang w:val="en-US"/>
              </w:rPr>
              <w:t>ex officio</w:t>
            </w:r>
            <w:r w:rsidR="00050790" w:rsidRPr="00050790">
              <w:rPr>
                <w:rStyle w:val="Hyperlink"/>
                <w:rFonts w:asciiTheme="minorHAnsi" w:hAnsiTheme="minorHAnsi" w:cstheme="minorHAnsi"/>
                <w:noProof/>
                <w:sz w:val="22"/>
                <w:szCs w:val="22"/>
                <w:lang w:val="en-US"/>
              </w:rPr>
              <w:t xml:space="preserve"> review</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_Toc66828025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10</w:t>
            </w:r>
            <w:r w:rsidR="00050790" w:rsidRPr="00050790">
              <w:rPr>
                <w:rFonts w:asciiTheme="minorHAnsi" w:hAnsiTheme="minorHAnsi" w:cstheme="minorHAnsi"/>
                <w:noProof/>
                <w:webHidden/>
                <w:sz w:val="22"/>
                <w:szCs w:val="22"/>
              </w:rPr>
              <w:fldChar w:fldCharType="end"/>
            </w:r>
          </w:hyperlink>
        </w:p>
        <w:p w14:paraId="515C6F26" w14:textId="75ADFE54"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26" w:history="1">
            <w:r w:rsidR="00050790" w:rsidRPr="00050790">
              <w:rPr>
                <w:rStyle w:val="Hyperlink"/>
                <w:rFonts w:asciiTheme="minorHAnsi" w:hAnsiTheme="minorHAnsi" w:cstheme="minorHAnsi"/>
                <w:noProof/>
                <w:sz w:val="22"/>
                <w:szCs w:val="22"/>
              </w:rPr>
              <w:t>2.4 Conclusion</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_Toc66828026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13</w:t>
            </w:r>
            <w:r w:rsidR="00050790" w:rsidRPr="00050790">
              <w:rPr>
                <w:rFonts w:asciiTheme="minorHAnsi" w:hAnsiTheme="minorHAnsi" w:cstheme="minorHAnsi"/>
                <w:noProof/>
                <w:webHidden/>
                <w:sz w:val="22"/>
                <w:szCs w:val="22"/>
              </w:rPr>
              <w:fldChar w:fldCharType="end"/>
            </w:r>
          </w:hyperlink>
        </w:p>
        <w:p w14:paraId="6220E217" w14:textId="1C34DC8F" w:rsidR="00050790" w:rsidRPr="00050790" w:rsidRDefault="00697032">
          <w:pPr>
            <w:pStyle w:val="TOC1"/>
            <w:tabs>
              <w:tab w:val="left" w:pos="480"/>
              <w:tab w:val="right" w:leader="dot" w:pos="9056"/>
            </w:tabs>
            <w:rPr>
              <w:rFonts w:asciiTheme="minorHAnsi" w:eastAsiaTheme="minorEastAsia" w:hAnsiTheme="minorHAnsi" w:cstheme="minorHAnsi"/>
              <w:b w:val="0"/>
              <w:bCs w:val="0"/>
              <w:caps w:val="0"/>
              <w:noProof/>
              <w:sz w:val="22"/>
              <w:szCs w:val="22"/>
              <w:lang w:val="nl-NL"/>
            </w:rPr>
          </w:pPr>
          <w:hyperlink w:anchor="_Toc66828027" w:history="1">
            <w:r w:rsidR="00050790" w:rsidRPr="00050790">
              <w:rPr>
                <w:rStyle w:val="Hyperlink"/>
                <w:rFonts w:asciiTheme="minorHAnsi" w:hAnsiTheme="minorHAnsi" w:cstheme="minorHAnsi"/>
                <w:noProof/>
              </w:rPr>
              <w:t xml:space="preserve">3. </w:t>
            </w:r>
            <w:r w:rsidR="00050790" w:rsidRPr="00050790">
              <w:rPr>
                <w:rFonts w:asciiTheme="minorHAnsi" w:eastAsiaTheme="minorEastAsia" w:hAnsiTheme="minorHAnsi" w:cstheme="minorHAnsi"/>
                <w:b w:val="0"/>
                <w:bCs w:val="0"/>
                <w:caps w:val="0"/>
                <w:noProof/>
                <w:sz w:val="22"/>
                <w:szCs w:val="22"/>
                <w:lang w:val="nl-NL"/>
              </w:rPr>
              <w:tab/>
            </w:r>
            <w:r w:rsidR="00050790" w:rsidRPr="00050790">
              <w:rPr>
                <w:rStyle w:val="Hyperlink"/>
                <w:rFonts w:asciiTheme="minorHAnsi" w:hAnsiTheme="minorHAnsi" w:cstheme="minorHAnsi"/>
                <w:i/>
                <w:iCs/>
                <w:noProof/>
              </w:rPr>
              <w:t>Ex officio</w:t>
            </w:r>
            <w:r w:rsidR="00050790" w:rsidRPr="00050790">
              <w:rPr>
                <w:rStyle w:val="Hyperlink"/>
                <w:rFonts w:asciiTheme="minorHAnsi" w:hAnsiTheme="minorHAnsi" w:cstheme="minorHAnsi"/>
                <w:noProof/>
              </w:rPr>
              <w:t xml:space="preserve"> judicial review of detention measures in other European States.</w:t>
            </w:r>
            <w:r w:rsidR="00050790" w:rsidRPr="00050790">
              <w:rPr>
                <w:rFonts w:asciiTheme="minorHAnsi" w:hAnsiTheme="minorHAnsi" w:cstheme="minorHAnsi"/>
                <w:noProof/>
                <w:webHidden/>
              </w:rPr>
              <w:tab/>
            </w:r>
            <w:r w:rsidR="00050790" w:rsidRPr="00050790">
              <w:rPr>
                <w:rFonts w:asciiTheme="minorHAnsi" w:hAnsiTheme="minorHAnsi" w:cstheme="minorHAnsi"/>
                <w:noProof/>
                <w:webHidden/>
              </w:rPr>
              <w:fldChar w:fldCharType="begin"/>
            </w:r>
            <w:r w:rsidR="00050790" w:rsidRPr="00050790">
              <w:rPr>
                <w:rFonts w:asciiTheme="minorHAnsi" w:hAnsiTheme="minorHAnsi" w:cstheme="minorHAnsi"/>
                <w:noProof/>
                <w:webHidden/>
              </w:rPr>
              <w:instrText xml:space="preserve"> PAGEREF _Toc66828027 \h </w:instrText>
            </w:r>
            <w:r w:rsidR="00050790" w:rsidRPr="00050790">
              <w:rPr>
                <w:rFonts w:asciiTheme="minorHAnsi" w:hAnsiTheme="minorHAnsi" w:cstheme="minorHAnsi"/>
                <w:noProof/>
                <w:webHidden/>
              </w:rPr>
            </w:r>
            <w:r w:rsidR="00050790" w:rsidRPr="00050790">
              <w:rPr>
                <w:rFonts w:asciiTheme="minorHAnsi" w:hAnsiTheme="minorHAnsi" w:cstheme="minorHAnsi"/>
                <w:noProof/>
                <w:webHidden/>
              </w:rPr>
              <w:fldChar w:fldCharType="separate"/>
            </w:r>
            <w:r w:rsidR="002E0791">
              <w:rPr>
                <w:rFonts w:asciiTheme="minorHAnsi" w:hAnsiTheme="minorHAnsi" w:cstheme="minorHAnsi"/>
                <w:noProof/>
                <w:webHidden/>
              </w:rPr>
              <w:t>15</w:t>
            </w:r>
            <w:r w:rsidR="00050790" w:rsidRPr="00050790">
              <w:rPr>
                <w:rFonts w:asciiTheme="minorHAnsi" w:hAnsiTheme="minorHAnsi" w:cstheme="minorHAnsi"/>
                <w:noProof/>
                <w:webHidden/>
              </w:rPr>
              <w:fldChar w:fldCharType="end"/>
            </w:r>
          </w:hyperlink>
        </w:p>
        <w:p w14:paraId="228E6BAB" w14:textId="56A0C86A"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28" w:history="1">
            <w:r w:rsidR="00050790" w:rsidRPr="00050790">
              <w:rPr>
                <w:rStyle w:val="Hyperlink"/>
                <w:rFonts w:asciiTheme="minorHAnsi" w:hAnsiTheme="minorHAnsi" w:cstheme="minorHAnsi"/>
                <w:noProof/>
                <w:sz w:val="22"/>
                <w:szCs w:val="22"/>
              </w:rPr>
              <w:t xml:space="preserve">3.1 Belgium, France and the United Kingdom: no </w:t>
            </w:r>
            <w:r w:rsidR="00050790" w:rsidRPr="00050790">
              <w:rPr>
                <w:rStyle w:val="Hyperlink"/>
                <w:rFonts w:asciiTheme="minorHAnsi" w:hAnsiTheme="minorHAnsi" w:cstheme="minorHAnsi"/>
                <w:i/>
                <w:iCs/>
                <w:noProof/>
                <w:sz w:val="22"/>
                <w:szCs w:val="22"/>
              </w:rPr>
              <w:t>ex officio</w:t>
            </w:r>
            <w:r w:rsidR="00050790" w:rsidRPr="00050790">
              <w:rPr>
                <w:rStyle w:val="Hyperlink"/>
                <w:rFonts w:asciiTheme="minorHAnsi" w:hAnsiTheme="minorHAnsi" w:cstheme="minorHAnsi"/>
                <w:noProof/>
                <w:sz w:val="22"/>
                <w:szCs w:val="22"/>
              </w:rPr>
              <w:t xml:space="preserve"> review</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_Toc66828028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15</w:t>
            </w:r>
            <w:r w:rsidR="00050790" w:rsidRPr="00050790">
              <w:rPr>
                <w:rFonts w:asciiTheme="minorHAnsi" w:hAnsiTheme="minorHAnsi" w:cstheme="minorHAnsi"/>
                <w:noProof/>
                <w:webHidden/>
                <w:sz w:val="22"/>
                <w:szCs w:val="22"/>
              </w:rPr>
              <w:fldChar w:fldCharType="end"/>
            </w:r>
          </w:hyperlink>
        </w:p>
        <w:p w14:paraId="4CC53465" w14:textId="2CAFE9F5" w:rsidR="00050790" w:rsidRPr="00050790" w:rsidRDefault="00697032">
          <w:pPr>
            <w:pStyle w:val="TOC3"/>
            <w:tabs>
              <w:tab w:val="right" w:leader="dot" w:pos="9056"/>
            </w:tabs>
            <w:rPr>
              <w:rFonts w:asciiTheme="minorHAnsi" w:eastAsiaTheme="minorEastAsia" w:hAnsiTheme="minorHAnsi" w:cstheme="minorHAnsi"/>
              <w:i w:val="0"/>
              <w:iCs w:val="0"/>
              <w:noProof/>
              <w:sz w:val="22"/>
              <w:szCs w:val="22"/>
              <w:lang w:val="nl-NL"/>
            </w:rPr>
          </w:pPr>
          <w:hyperlink w:anchor="_Toc66828029" w:history="1">
            <w:r w:rsidR="00050790" w:rsidRPr="00050790">
              <w:rPr>
                <w:rStyle w:val="Hyperlink"/>
                <w:rFonts w:asciiTheme="minorHAnsi" w:hAnsiTheme="minorHAnsi" w:cstheme="minorHAnsi"/>
                <w:noProof/>
                <w:sz w:val="22"/>
                <w:szCs w:val="22"/>
              </w:rPr>
              <w:t>3.1.1 Belgium</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_Toc66828029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15</w:t>
            </w:r>
            <w:r w:rsidR="00050790" w:rsidRPr="00050790">
              <w:rPr>
                <w:rFonts w:asciiTheme="minorHAnsi" w:hAnsiTheme="minorHAnsi" w:cstheme="minorHAnsi"/>
                <w:noProof/>
                <w:webHidden/>
                <w:sz w:val="22"/>
                <w:szCs w:val="22"/>
              </w:rPr>
              <w:fldChar w:fldCharType="end"/>
            </w:r>
          </w:hyperlink>
        </w:p>
        <w:p w14:paraId="4477E626" w14:textId="2058D7AF" w:rsidR="00050790" w:rsidRPr="00050790" w:rsidRDefault="00697032">
          <w:pPr>
            <w:pStyle w:val="TOC3"/>
            <w:tabs>
              <w:tab w:val="right" w:leader="dot" w:pos="9056"/>
            </w:tabs>
            <w:rPr>
              <w:rFonts w:asciiTheme="minorHAnsi" w:eastAsiaTheme="minorEastAsia" w:hAnsiTheme="minorHAnsi" w:cstheme="minorHAnsi"/>
              <w:i w:val="0"/>
              <w:iCs w:val="0"/>
              <w:noProof/>
              <w:sz w:val="22"/>
              <w:szCs w:val="22"/>
              <w:lang w:val="nl-NL"/>
            </w:rPr>
          </w:pPr>
          <w:hyperlink w:anchor="_Toc66828030" w:history="1">
            <w:r w:rsidR="00050790" w:rsidRPr="00050790">
              <w:rPr>
                <w:rStyle w:val="Hyperlink"/>
                <w:rFonts w:asciiTheme="minorHAnsi" w:hAnsiTheme="minorHAnsi" w:cstheme="minorHAnsi"/>
                <w:noProof/>
                <w:sz w:val="22"/>
                <w:szCs w:val="22"/>
              </w:rPr>
              <w:t>3.1.2 France</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_Toc66828030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17</w:t>
            </w:r>
            <w:r w:rsidR="00050790" w:rsidRPr="00050790">
              <w:rPr>
                <w:rFonts w:asciiTheme="minorHAnsi" w:hAnsiTheme="minorHAnsi" w:cstheme="minorHAnsi"/>
                <w:noProof/>
                <w:webHidden/>
                <w:sz w:val="22"/>
                <w:szCs w:val="22"/>
              </w:rPr>
              <w:fldChar w:fldCharType="end"/>
            </w:r>
          </w:hyperlink>
        </w:p>
        <w:p w14:paraId="46C52961" w14:textId="24DCAC65" w:rsidR="00050790" w:rsidRPr="00050790" w:rsidRDefault="00697032">
          <w:pPr>
            <w:pStyle w:val="TOC3"/>
            <w:tabs>
              <w:tab w:val="right" w:leader="dot" w:pos="9056"/>
            </w:tabs>
            <w:rPr>
              <w:rFonts w:asciiTheme="minorHAnsi" w:eastAsiaTheme="minorEastAsia" w:hAnsiTheme="minorHAnsi" w:cstheme="minorHAnsi"/>
              <w:i w:val="0"/>
              <w:iCs w:val="0"/>
              <w:noProof/>
              <w:sz w:val="22"/>
              <w:szCs w:val="22"/>
              <w:lang w:val="nl-NL"/>
            </w:rPr>
          </w:pPr>
          <w:hyperlink w:anchor="_Toc66828031" w:history="1">
            <w:r w:rsidR="00050790" w:rsidRPr="00050790">
              <w:rPr>
                <w:rStyle w:val="Hyperlink"/>
                <w:rFonts w:asciiTheme="minorHAnsi" w:hAnsiTheme="minorHAnsi" w:cstheme="minorHAnsi"/>
                <w:noProof/>
                <w:sz w:val="22"/>
                <w:szCs w:val="22"/>
              </w:rPr>
              <w:t>3.1.3 The United Kingdom</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_Toc66828031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18</w:t>
            </w:r>
            <w:r w:rsidR="00050790" w:rsidRPr="00050790">
              <w:rPr>
                <w:rFonts w:asciiTheme="minorHAnsi" w:hAnsiTheme="minorHAnsi" w:cstheme="minorHAnsi"/>
                <w:noProof/>
                <w:webHidden/>
                <w:sz w:val="22"/>
                <w:szCs w:val="22"/>
              </w:rPr>
              <w:fldChar w:fldCharType="end"/>
            </w:r>
          </w:hyperlink>
        </w:p>
        <w:p w14:paraId="14D14575" w14:textId="4BE18BDB" w:rsidR="00050790" w:rsidRPr="00050790" w:rsidRDefault="00697032">
          <w:pPr>
            <w:pStyle w:val="TOC2"/>
            <w:tabs>
              <w:tab w:val="right" w:leader="dot" w:pos="9056"/>
            </w:tabs>
            <w:rPr>
              <w:rFonts w:asciiTheme="minorHAnsi" w:eastAsiaTheme="minorEastAsia" w:hAnsiTheme="minorHAnsi" w:cstheme="minorHAnsi"/>
              <w:smallCaps w:val="0"/>
              <w:noProof/>
              <w:sz w:val="22"/>
              <w:szCs w:val="22"/>
              <w:lang w:val="nl-NL"/>
            </w:rPr>
          </w:pPr>
          <w:hyperlink w:anchor="_Toc66828032" w:history="1">
            <w:r w:rsidR="00050790" w:rsidRPr="00050790">
              <w:rPr>
                <w:rStyle w:val="Hyperlink"/>
                <w:rFonts w:asciiTheme="minorHAnsi" w:hAnsiTheme="minorHAnsi" w:cstheme="minorHAnsi"/>
                <w:noProof/>
                <w:sz w:val="22"/>
                <w:szCs w:val="22"/>
              </w:rPr>
              <w:t xml:space="preserve">3.2 Austria and Germany: application of </w:t>
            </w:r>
            <w:r w:rsidR="00050790" w:rsidRPr="00050790">
              <w:rPr>
                <w:rStyle w:val="Hyperlink"/>
                <w:rFonts w:asciiTheme="minorHAnsi" w:hAnsiTheme="minorHAnsi" w:cstheme="minorHAnsi"/>
                <w:i/>
                <w:iCs/>
                <w:noProof/>
                <w:sz w:val="22"/>
                <w:szCs w:val="22"/>
              </w:rPr>
              <w:t>ex officio</w:t>
            </w:r>
            <w:r w:rsidR="00050790" w:rsidRPr="00050790">
              <w:rPr>
                <w:rStyle w:val="Hyperlink"/>
                <w:rFonts w:asciiTheme="minorHAnsi" w:hAnsiTheme="minorHAnsi" w:cstheme="minorHAnsi"/>
                <w:noProof/>
                <w:sz w:val="22"/>
                <w:szCs w:val="22"/>
              </w:rPr>
              <w:t xml:space="preserve"> review</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_Toc66828032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19</w:t>
            </w:r>
            <w:r w:rsidR="00050790" w:rsidRPr="00050790">
              <w:rPr>
                <w:rFonts w:asciiTheme="minorHAnsi" w:hAnsiTheme="minorHAnsi" w:cstheme="minorHAnsi"/>
                <w:noProof/>
                <w:webHidden/>
                <w:sz w:val="22"/>
                <w:szCs w:val="22"/>
              </w:rPr>
              <w:fldChar w:fldCharType="end"/>
            </w:r>
          </w:hyperlink>
        </w:p>
        <w:p w14:paraId="3B625D77" w14:textId="0CADF50B" w:rsidR="00050790" w:rsidRPr="00050790" w:rsidRDefault="00697032">
          <w:pPr>
            <w:pStyle w:val="TOC3"/>
            <w:tabs>
              <w:tab w:val="right" w:leader="dot" w:pos="9056"/>
            </w:tabs>
            <w:rPr>
              <w:rFonts w:asciiTheme="minorHAnsi" w:eastAsiaTheme="minorEastAsia" w:hAnsiTheme="minorHAnsi" w:cstheme="minorHAnsi"/>
              <w:i w:val="0"/>
              <w:iCs w:val="0"/>
              <w:noProof/>
              <w:sz w:val="22"/>
              <w:szCs w:val="22"/>
              <w:lang w:val="nl-NL"/>
            </w:rPr>
          </w:pPr>
          <w:hyperlink w:anchor="_Toc66828033" w:history="1">
            <w:r w:rsidR="00050790" w:rsidRPr="00050790">
              <w:rPr>
                <w:rStyle w:val="Hyperlink"/>
                <w:rFonts w:asciiTheme="minorHAnsi" w:hAnsiTheme="minorHAnsi" w:cstheme="minorHAnsi"/>
                <w:noProof/>
                <w:sz w:val="22"/>
                <w:szCs w:val="22"/>
              </w:rPr>
              <w:t>3.2.1 Austria: forward looking ex officio review</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_Toc66828033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19</w:t>
            </w:r>
            <w:r w:rsidR="00050790" w:rsidRPr="00050790">
              <w:rPr>
                <w:rFonts w:asciiTheme="minorHAnsi" w:hAnsiTheme="minorHAnsi" w:cstheme="minorHAnsi"/>
                <w:noProof/>
                <w:webHidden/>
                <w:sz w:val="22"/>
                <w:szCs w:val="22"/>
              </w:rPr>
              <w:fldChar w:fldCharType="end"/>
            </w:r>
          </w:hyperlink>
        </w:p>
        <w:p w14:paraId="47A86E67" w14:textId="3F0FD979" w:rsidR="00050790" w:rsidRPr="00050790" w:rsidRDefault="00697032">
          <w:pPr>
            <w:pStyle w:val="TOC3"/>
            <w:tabs>
              <w:tab w:val="right" w:leader="dot" w:pos="9056"/>
            </w:tabs>
            <w:rPr>
              <w:rFonts w:asciiTheme="minorHAnsi" w:eastAsiaTheme="minorEastAsia" w:hAnsiTheme="minorHAnsi" w:cstheme="minorHAnsi"/>
              <w:i w:val="0"/>
              <w:iCs w:val="0"/>
              <w:noProof/>
              <w:sz w:val="22"/>
              <w:szCs w:val="22"/>
              <w:lang w:val="nl-NL"/>
            </w:rPr>
          </w:pPr>
          <w:hyperlink w:anchor="_Toc66828034" w:history="1">
            <w:r w:rsidR="00050790" w:rsidRPr="00050790">
              <w:rPr>
                <w:rStyle w:val="Hyperlink"/>
                <w:rFonts w:asciiTheme="minorHAnsi" w:hAnsiTheme="minorHAnsi" w:cstheme="minorHAnsi"/>
                <w:noProof/>
                <w:sz w:val="22"/>
                <w:szCs w:val="22"/>
              </w:rPr>
              <w:t>3.2.2 Germany: a full ex officio examination</w:t>
            </w:r>
            <w:r w:rsidR="00050790" w:rsidRPr="00050790">
              <w:rPr>
                <w:rFonts w:asciiTheme="minorHAnsi" w:hAnsiTheme="minorHAnsi" w:cstheme="minorHAnsi"/>
                <w:noProof/>
                <w:webHidden/>
                <w:sz w:val="22"/>
                <w:szCs w:val="22"/>
              </w:rPr>
              <w:tab/>
            </w:r>
            <w:r w:rsidR="00050790" w:rsidRPr="00050790">
              <w:rPr>
                <w:rFonts w:asciiTheme="minorHAnsi" w:hAnsiTheme="minorHAnsi" w:cstheme="minorHAnsi"/>
                <w:noProof/>
                <w:webHidden/>
                <w:sz w:val="22"/>
                <w:szCs w:val="22"/>
              </w:rPr>
              <w:fldChar w:fldCharType="begin"/>
            </w:r>
            <w:r w:rsidR="00050790" w:rsidRPr="00050790">
              <w:rPr>
                <w:rFonts w:asciiTheme="minorHAnsi" w:hAnsiTheme="minorHAnsi" w:cstheme="minorHAnsi"/>
                <w:noProof/>
                <w:webHidden/>
                <w:sz w:val="22"/>
                <w:szCs w:val="22"/>
              </w:rPr>
              <w:instrText xml:space="preserve"> PAGEREF _Toc66828034 \h </w:instrText>
            </w:r>
            <w:r w:rsidR="00050790" w:rsidRPr="00050790">
              <w:rPr>
                <w:rFonts w:asciiTheme="minorHAnsi" w:hAnsiTheme="minorHAnsi" w:cstheme="minorHAnsi"/>
                <w:noProof/>
                <w:webHidden/>
                <w:sz w:val="22"/>
                <w:szCs w:val="22"/>
              </w:rPr>
            </w:r>
            <w:r w:rsidR="00050790" w:rsidRPr="00050790">
              <w:rPr>
                <w:rFonts w:asciiTheme="minorHAnsi" w:hAnsiTheme="minorHAnsi" w:cstheme="minorHAnsi"/>
                <w:noProof/>
                <w:webHidden/>
                <w:sz w:val="22"/>
                <w:szCs w:val="22"/>
              </w:rPr>
              <w:fldChar w:fldCharType="separate"/>
            </w:r>
            <w:r w:rsidR="002E0791">
              <w:rPr>
                <w:rFonts w:asciiTheme="minorHAnsi" w:hAnsiTheme="minorHAnsi" w:cstheme="minorHAnsi"/>
                <w:noProof/>
                <w:webHidden/>
                <w:sz w:val="22"/>
                <w:szCs w:val="22"/>
              </w:rPr>
              <w:t>21</w:t>
            </w:r>
            <w:r w:rsidR="00050790" w:rsidRPr="00050790">
              <w:rPr>
                <w:rFonts w:asciiTheme="minorHAnsi" w:hAnsiTheme="minorHAnsi" w:cstheme="minorHAnsi"/>
                <w:noProof/>
                <w:webHidden/>
                <w:sz w:val="22"/>
                <w:szCs w:val="22"/>
              </w:rPr>
              <w:fldChar w:fldCharType="end"/>
            </w:r>
          </w:hyperlink>
        </w:p>
        <w:p w14:paraId="23A04CE5" w14:textId="2BB3FB06" w:rsidR="00050790" w:rsidRPr="00050790" w:rsidRDefault="00697032">
          <w:pPr>
            <w:pStyle w:val="TOC1"/>
            <w:tabs>
              <w:tab w:val="left" w:pos="480"/>
              <w:tab w:val="right" w:leader="dot" w:pos="9056"/>
            </w:tabs>
            <w:rPr>
              <w:rFonts w:asciiTheme="minorHAnsi" w:eastAsiaTheme="minorEastAsia" w:hAnsiTheme="minorHAnsi" w:cstheme="minorHAnsi"/>
              <w:b w:val="0"/>
              <w:bCs w:val="0"/>
              <w:caps w:val="0"/>
              <w:noProof/>
              <w:sz w:val="22"/>
              <w:szCs w:val="22"/>
              <w:lang w:val="nl-NL"/>
            </w:rPr>
          </w:pPr>
          <w:hyperlink w:anchor="_Toc66828035" w:history="1">
            <w:r w:rsidR="00050790" w:rsidRPr="00050790">
              <w:rPr>
                <w:rStyle w:val="Hyperlink"/>
                <w:rFonts w:asciiTheme="minorHAnsi" w:eastAsia="Calibri" w:hAnsiTheme="minorHAnsi" w:cstheme="minorHAnsi"/>
                <w:noProof/>
              </w:rPr>
              <w:t>4.</w:t>
            </w:r>
            <w:r w:rsidR="00050790" w:rsidRPr="00050790">
              <w:rPr>
                <w:rFonts w:asciiTheme="minorHAnsi" w:eastAsiaTheme="minorEastAsia" w:hAnsiTheme="minorHAnsi" w:cstheme="minorHAnsi"/>
                <w:b w:val="0"/>
                <w:bCs w:val="0"/>
                <w:caps w:val="0"/>
                <w:noProof/>
                <w:sz w:val="22"/>
                <w:szCs w:val="22"/>
                <w:lang w:val="nl-NL"/>
              </w:rPr>
              <w:tab/>
            </w:r>
            <w:r w:rsidR="00050790" w:rsidRPr="00050790">
              <w:rPr>
                <w:rStyle w:val="Hyperlink"/>
                <w:rFonts w:asciiTheme="minorHAnsi" w:eastAsia="Calibri" w:hAnsiTheme="minorHAnsi" w:cstheme="minorHAnsi"/>
                <w:noProof/>
              </w:rPr>
              <w:t>Conclusion</w:t>
            </w:r>
            <w:r w:rsidR="00050790" w:rsidRPr="00050790">
              <w:rPr>
                <w:rFonts w:asciiTheme="minorHAnsi" w:hAnsiTheme="minorHAnsi" w:cstheme="minorHAnsi"/>
                <w:noProof/>
                <w:webHidden/>
              </w:rPr>
              <w:tab/>
            </w:r>
            <w:r w:rsidR="00050790" w:rsidRPr="00050790">
              <w:rPr>
                <w:rFonts w:asciiTheme="minorHAnsi" w:hAnsiTheme="minorHAnsi" w:cstheme="minorHAnsi"/>
                <w:noProof/>
                <w:webHidden/>
              </w:rPr>
              <w:fldChar w:fldCharType="begin"/>
            </w:r>
            <w:r w:rsidR="00050790" w:rsidRPr="00050790">
              <w:rPr>
                <w:rFonts w:asciiTheme="minorHAnsi" w:hAnsiTheme="minorHAnsi" w:cstheme="minorHAnsi"/>
                <w:noProof/>
                <w:webHidden/>
              </w:rPr>
              <w:instrText xml:space="preserve"> PAGEREF _Toc66828035 \h </w:instrText>
            </w:r>
            <w:r w:rsidR="00050790" w:rsidRPr="00050790">
              <w:rPr>
                <w:rFonts w:asciiTheme="minorHAnsi" w:hAnsiTheme="minorHAnsi" w:cstheme="minorHAnsi"/>
                <w:noProof/>
                <w:webHidden/>
              </w:rPr>
            </w:r>
            <w:r w:rsidR="00050790" w:rsidRPr="00050790">
              <w:rPr>
                <w:rFonts w:asciiTheme="minorHAnsi" w:hAnsiTheme="minorHAnsi" w:cstheme="minorHAnsi"/>
                <w:noProof/>
                <w:webHidden/>
              </w:rPr>
              <w:fldChar w:fldCharType="separate"/>
            </w:r>
            <w:r w:rsidR="002E0791">
              <w:rPr>
                <w:rFonts w:asciiTheme="minorHAnsi" w:hAnsiTheme="minorHAnsi" w:cstheme="minorHAnsi"/>
                <w:noProof/>
                <w:webHidden/>
              </w:rPr>
              <w:t>23</w:t>
            </w:r>
            <w:r w:rsidR="00050790" w:rsidRPr="00050790">
              <w:rPr>
                <w:rFonts w:asciiTheme="minorHAnsi" w:hAnsiTheme="minorHAnsi" w:cstheme="minorHAnsi"/>
                <w:noProof/>
                <w:webHidden/>
              </w:rPr>
              <w:fldChar w:fldCharType="end"/>
            </w:r>
          </w:hyperlink>
        </w:p>
        <w:p w14:paraId="3DD88368" w14:textId="57B2C11C" w:rsidR="00555FA2" w:rsidRPr="00050790" w:rsidRDefault="00555FA2">
          <w:pPr>
            <w:rPr>
              <w:rFonts w:asciiTheme="minorHAnsi" w:hAnsiTheme="minorHAnsi" w:cstheme="minorHAnsi"/>
            </w:rPr>
          </w:pPr>
          <w:r w:rsidRPr="00050790">
            <w:rPr>
              <w:rFonts w:asciiTheme="minorHAnsi" w:hAnsiTheme="minorHAnsi" w:cstheme="minorHAnsi"/>
              <w:b/>
              <w:bCs/>
            </w:rPr>
            <w:fldChar w:fldCharType="end"/>
          </w:r>
        </w:p>
      </w:sdtContent>
    </w:sdt>
    <w:p w14:paraId="00000022" w14:textId="21305036" w:rsidR="00332FAC" w:rsidRPr="00050790" w:rsidRDefault="00332FAC" w:rsidP="007F72D6">
      <w:pPr>
        <w:spacing w:line="276" w:lineRule="auto"/>
        <w:rPr>
          <w:rFonts w:asciiTheme="minorHAnsi" w:hAnsiTheme="minorHAnsi" w:cstheme="minorHAnsi"/>
        </w:rPr>
      </w:pPr>
    </w:p>
    <w:p w14:paraId="00000023" w14:textId="77777777" w:rsidR="00332FAC" w:rsidRPr="00050790" w:rsidRDefault="00332FAC" w:rsidP="007F72D6">
      <w:pPr>
        <w:pBdr>
          <w:top w:val="nil"/>
          <w:left w:val="nil"/>
          <w:bottom w:val="nil"/>
          <w:right w:val="nil"/>
          <w:between w:val="nil"/>
        </w:pBdr>
        <w:spacing w:line="276" w:lineRule="auto"/>
        <w:ind w:left="720"/>
        <w:rPr>
          <w:rFonts w:asciiTheme="minorHAnsi" w:hAnsiTheme="minorHAnsi" w:cstheme="minorHAnsi"/>
          <w:color w:val="000000"/>
        </w:rPr>
      </w:pPr>
    </w:p>
    <w:p w14:paraId="00000024" w14:textId="77777777" w:rsidR="00332FAC" w:rsidRPr="001D15EE" w:rsidRDefault="005558CF" w:rsidP="007F72D6">
      <w:pPr>
        <w:spacing w:line="276" w:lineRule="auto"/>
        <w:rPr>
          <w:rFonts w:asciiTheme="minorHAnsi" w:hAnsiTheme="minorHAnsi" w:cstheme="minorHAnsi"/>
        </w:rPr>
      </w:pPr>
      <w:r w:rsidRPr="001D15EE">
        <w:rPr>
          <w:rFonts w:asciiTheme="minorHAnsi" w:hAnsiTheme="minorHAnsi" w:cstheme="minorHAnsi"/>
        </w:rPr>
        <w:br w:type="page"/>
      </w:r>
    </w:p>
    <w:p w14:paraId="00000025" w14:textId="7B5E435F" w:rsidR="00332FAC" w:rsidRPr="001D15EE" w:rsidRDefault="005558CF" w:rsidP="007F72D6">
      <w:pPr>
        <w:pStyle w:val="Heading1"/>
        <w:spacing w:line="276" w:lineRule="auto"/>
        <w:jc w:val="both"/>
        <w:rPr>
          <w:rFonts w:asciiTheme="minorHAnsi" w:hAnsiTheme="minorHAnsi" w:cstheme="minorHAnsi"/>
          <w:szCs w:val="28"/>
        </w:rPr>
      </w:pPr>
      <w:bookmarkStart w:id="0" w:name="_Toc57327716"/>
      <w:bookmarkStart w:id="1" w:name="_Toc57341692"/>
      <w:bookmarkStart w:id="2" w:name="_Toc66828018"/>
      <w:r w:rsidRPr="001D15EE">
        <w:rPr>
          <w:rFonts w:asciiTheme="minorHAnsi" w:hAnsiTheme="minorHAnsi" w:cstheme="minorHAnsi"/>
          <w:szCs w:val="28"/>
        </w:rPr>
        <w:lastRenderedPageBreak/>
        <w:t xml:space="preserve">1. </w:t>
      </w:r>
      <w:r w:rsidR="000279A3" w:rsidRPr="001D15EE">
        <w:rPr>
          <w:rFonts w:asciiTheme="minorHAnsi" w:hAnsiTheme="minorHAnsi" w:cstheme="minorHAnsi"/>
          <w:szCs w:val="28"/>
        </w:rPr>
        <w:tab/>
      </w:r>
      <w:r w:rsidRPr="001D15EE">
        <w:rPr>
          <w:rFonts w:asciiTheme="minorHAnsi" w:hAnsiTheme="minorHAnsi" w:cstheme="minorHAnsi"/>
          <w:szCs w:val="28"/>
        </w:rPr>
        <w:t>Introduction</w:t>
      </w:r>
      <w:bookmarkEnd w:id="0"/>
      <w:bookmarkEnd w:id="1"/>
      <w:bookmarkEnd w:id="2"/>
      <w:r w:rsidRPr="001D15EE">
        <w:rPr>
          <w:rFonts w:asciiTheme="minorHAnsi" w:hAnsiTheme="minorHAnsi" w:cstheme="minorHAnsi"/>
          <w:szCs w:val="28"/>
        </w:rPr>
        <w:t xml:space="preserve"> </w:t>
      </w:r>
    </w:p>
    <w:p w14:paraId="00000026" w14:textId="77777777" w:rsidR="00332FAC" w:rsidRPr="001D15EE" w:rsidRDefault="00332FAC" w:rsidP="007F72D6">
      <w:pPr>
        <w:spacing w:line="276" w:lineRule="auto"/>
        <w:jc w:val="both"/>
        <w:rPr>
          <w:rFonts w:asciiTheme="minorHAnsi" w:hAnsiTheme="minorHAnsi" w:cstheme="minorHAnsi"/>
        </w:rPr>
      </w:pPr>
    </w:p>
    <w:p w14:paraId="2C9CDE46" w14:textId="5869B363" w:rsidR="003B0486" w:rsidRPr="001D15EE" w:rsidRDefault="005558CF"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This expert opinion was written at the request of </w:t>
      </w:r>
      <w:r w:rsidR="00E44A5A" w:rsidRPr="001D15EE">
        <w:rPr>
          <w:rFonts w:asciiTheme="minorHAnsi" w:hAnsiTheme="minorHAnsi" w:cstheme="minorHAnsi"/>
          <w:sz w:val="22"/>
          <w:szCs w:val="22"/>
        </w:rPr>
        <w:t xml:space="preserve">the </w:t>
      </w:r>
      <w:r w:rsidR="002171F6" w:rsidRPr="001D15EE">
        <w:rPr>
          <w:rFonts w:asciiTheme="minorHAnsi" w:hAnsiTheme="minorHAnsi" w:cstheme="minorHAnsi"/>
          <w:sz w:val="22"/>
          <w:szCs w:val="22"/>
        </w:rPr>
        <w:t xml:space="preserve">lawyers of the </w:t>
      </w:r>
      <w:r w:rsidR="003133D8" w:rsidRPr="001D15EE">
        <w:rPr>
          <w:rFonts w:asciiTheme="minorHAnsi" w:hAnsiTheme="minorHAnsi" w:cstheme="minorHAnsi"/>
          <w:sz w:val="22"/>
          <w:szCs w:val="22"/>
        </w:rPr>
        <w:t>third country nationals</w:t>
      </w:r>
      <w:r w:rsidR="002171F6" w:rsidRPr="001D15EE">
        <w:rPr>
          <w:rFonts w:asciiTheme="minorHAnsi" w:hAnsiTheme="minorHAnsi" w:cstheme="minorHAnsi"/>
          <w:sz w:val="22"/>
          <w:szCs w:val="22"/>
        </w:rPr>
        <w:t xml:space="preserve"> in the cases</w:t>
      </w:r>
      <w:r w:rsidR="00E44A5A" w:rsidRPr="001D15EE">
        <w:rPr>
          <w:rFonts w:asciiTheme="minorHAnsi" w:hAnsiTheme="minorHAnsi" w:cstheme="minorHAnsi"/>
          <w:sz w:val="22"/>
          <w:szCs w:val="22"/>
        </w:rPr>
        <w:t>, which led to</w:t>
      </w:r>
      <w:r w:rsidRPr="001D15EE">
        <w:rPr>
          <w:rFonts w:asciiTheme="minorHAnsi" w:hAnsiTheme="minorHAnsi" w:cstheme="minorHAnsi"/>
          <w:sz w:val="22"/>
          <w:szCs w:val="22"/>
        </w:rPr>
        <w:t xml:space="preserve"> preliminary question</w:t>
      </w:r>
      <w:r w:rsidR="00E44A5A" w:rsidRPr="001D15EE">
        <w:rPr>
          <w:rFonts w:asciiTheme="minorHAnsi" w:hAnsiTheme="minorHAnsi" w:cstheme="minorHAnsi"/>
          <w:sz w:val="22"/>
          <w:szCs w:val="22"/>
        </w:rPr>
        <w:t xml:space="preserve">s in </w:t>
      </w:r>
      <w:r w:rsidR="002171F6" w:rsidRPr="001D15EE">
        <w:rPr>
          <w:rFonts w:asciiTheme="minorHAnsi" w:hAnsiTheme="minorHAnsi" w:cstheme="minorHAnsi"/>
          <w:sz w:val="22"/>
          <w:szCs w:val="22"/>
        </w:rPr>
        <w:t xml:space="preserve">Joined </w:t>
      </w:r>
      <w:r w:rsidR="00E44A5A" w:rsidRPr="001D15EE">
        <w:rPr>
          <w:rFonts w:asciiTheme="minorHAnsi" w:hAnsiTheme="minorHAnsi" w:cstheme="minorHAnsi"/>
          <w:sz w:val="22"/>
          <w:szCs w:val="22"/>
        </w:rPr>
        <w:t>Case</w:t>
      </w:r>
      <w:r w:rsidR="00C53650" w:rsidRPr="001D15EE">
        <w:rPr>
          <w:rFonts w:asciiTheme="minorHAnsi" w:hAnsiTheme="minorHAnsi" w:cstheme="minorHAnsi"/>
          <w:sz w:val="22"/>
          <w:szCs w:val="22"/>
        </w:rPr>
        <w:t>s</w:t>
      </w:r>
      <w:r w:rsidR="002171F6" w:rsidRPr="001D15EE">
        <w:rPr>
          <w:rFonts w:asciiTheme="minorHAnsi" w:hAnsiTheme="minorHAnsi" w:cstheme="minorHAnsi"/>
          <w:sz w:val="22"/>
          <w:szCs w:val="22"/>
        </w:rPr>
        <w:t xml:space="preserve"> </w:t>
      </w:r>
      <w:r w:rsidR="002171F6" w:rsidRPr="001D15EE">
        <w:rPr>
          <w:rFonts w:asciiTheme="minorHAnsi" w:hAnsiTheme="minorHAnsi" w:cstheme="minorHAnsi"/>
          <w:sz w:val="22"/>
          <w:szCs w:val="22"/>
          <w:shd w:val="clear" w:color="auto" w:fill="FFFFFF"/>
        </w:rPr>
        <w:t>C-704/20 PPU and C-39/21 PPU</w:t>
      </w:r>
      <w:r w:rsidR="00E44A5A" w:rsidRPr="001D15EE">
        <w:rPr>
          <w:rFonts w:asciiTheme="minorHAnsi" w:hAnsiTheme="minorHAnsi" w:cstheme="minorHAnsi"/>
          <w:sz w:val="22"/>
          <w:szCs w:val="22"/>
        </w:rPr>
        <w:t xml:space="preserve"> before the Court of Justice of the European Union (henceforth: </w:t>
      </w:r>
      <w:r w:rsidR="002F77CF">
        <w:rPr>
          <w:rFonts w:asciiTheme="minorHAnsi" w:hAnsiTheme="minorHAnsi" w:cstheme="minorHAnsi"/>
          <w:sz w:val="22"/>
          <w:szCs w:val="22"/>
        </w:rPr>
        <w:t xml:space="preserve">the </w:t>
      </w:r>
      <w:r w:rsidR="00E44A5A" w:rsidRPr="001D15EE">
        <w:rPr>
          <w:rFonts w:asciiTheme="minorHAnsi" w:hAnsiTheme="minorHAnsi" w:cstheme="minorHAnsi"/>
          <w:sz w:val="22"/>
          <w:szCs w:val="22"/>
        </w:rPr>
        <w:t>CJEU)</w:t>
      </w:r>
      <w:r w:rsidRPr="001D15EE">
        <w:rPr>
          <w:rFonts w:asciiTheme="minorHAnsi" w:hAnsiTheme="minorHAnsi" w:cstheme="minorHAnsi"/>
          <w:sz w:val="22"/>
          <w:szCs w:val="22"/>
        </w:rPr>
        <w:t>.</w:t>
      </w:r>
      <w:r w:rsidR="00011D2C" w:rsidRPr="001D15EE">
        <w:rPr>
          <w:rFonts w:asciiTheme="minorHAnsi" w:hAnsiTheme="minorHAnsi" w:cstheme="minorHAnsi"/>
          <w:sz w:val="22"/>
          <w:szCs w:val="22"/>
        </w:rPr>
        <w:t xml:space="preserve"> </w:t>
      </w:r>
      <w:r w:rsidR="00984384" w:rsidRPr="001D15EE">
        <w:rPr>
          <w:rFonts w:asciiTheme="minorHAnsi" w:hAnsiTheme="minorHAnsi" w:cstheme="minorHAnsi"/>
          <w:sz w:val="22"/>
          <w:szCs w:val="22"/>
        </w:rPr>
        <w:t>It concerns the</w:t>
      </w:r>
      <w:r w:rsidR="00011D2C" w:rsidRPr="001D15EE">
        <w:rPr>
          <w:rFonts w:asciiTheme="minorHAnsi" w:hAnsiTheme="minorHAnsi" w:cstheme="minorHAnsi"/>
          <w:sz w:val="22"/>
          <w:szCs w:val="22"/>
        </w:rPr>
        <w:t xml:space="preserve"> </w:t>
      </w:r>
      <w:r w:rsidR="002171F6" w:rsidRPr="001D15EE">
        <w:rPr>
          <w:rFonts w:asciiTheme="minorHAnsi" w:hAnsiTheme="minorHAnsi" w:cstheme="minorHAnsi"/>
          <w:sz w:val="22"/>
          <w:szCs w:val="22"/>
        </w:rPr>
        <w:t xml:space="preserve">judicial review of detention measures imposed on the basis of the Return Directive </w:t>
      </w:r>
      <w:r w:rsidR="00984384" w:rsidRPr="001D15EE">
        <w:rPr>
          <w:rFonts w:asciiTheme="minorHAnsi" w:hAnsiTheme="minorHAnsi" w:cstheme="minorHAnsi"/>
          <w:sz w:val="22"/>
          <w:szCs w:val="22"/>
        </w:rPr>
        <w:t>(</w:t>
      </w:r>
      <w:r w:rsidR="002171F6" w:rsidRPr="001D15EE">
        <w:rPr>
          <w:rFonts w:asciiTheme="minorHAnsi" w:hAnsiTheme="minorHAnsi" w:cstheme="minorHAnsi"/>
          <w:sz w:val="22"/>
          <w:szCs w:val="22"/>
        </w:rPr>
        <w:t>Directive 2008/115/EC</w:t>
      </w:r>
      <w:r w:rsidR="00984384" w:rsidRPr="001D15EE">
        <w:rPr>
          <w:rFonts w:asciiTheme="minorHAnsi" w:hAnsiTheme="minorHAnsi" w:cstheme="minorHAnsi"/>
          <w:sz w:val="22"/>
          <w:szCs w:val="22"/>
        </w:rPr>
        <w:t>)</w:t>
      </w:r>
      <w:r w:rsidR="002171F6" w:rsidRPr="001D15EE">
        <w:rPr>
          <w:rFonts w:asciiTheme="minorHAnsi" w:hAnsiTheme="minorHAnsi" w:cstheme="minorHAnsi"/>
          <w:sz w:val="22"/>
          <w:szCs w:val="22"/>
        </w:rPr>
        <w:t>.</w:t>
      </w:r>
      <w:r w:rsidR="007F5C63" w:rsidRPr="001D15EE">
        <w:rPr>
          <w:rFonts w:asciiTheme="minorHAnsi" w:hAnsiTheme="minorHAnsi" w:cstheme="minorHAnsi"/>
          <w:sz w:val="22"/>
          <w:szCs w:val="22"/>
          <w:vertAlign w:val="superscript"/>
        </w:rPr>
        <w:footnoteReference w:id="1"/>
      </w:r>
      <w:r w:rsidR="002171F6" w:rsidRPr="001D15EE">
        <w:rPr>
          <w:rFonts w:asciiTheme="minorHAnsi" w:hAnsiTheme="minorHAnsi" w:cstheme="minorHAnsi"/>
          <w:sz w:val="22"/>
          <w:szCs w:val="22"/>
        </w:rPr>
        <w:t xml:space="preserve"> </w:t>
      </w:r>
      <w:r w:rsidR="00011D2C" w:rsidRPr="001D15EE">
        <w:rPr>
          <w:rFonts w:asciiTheme="minorHAnsi" w:hAnsiTheme="minorHAnsi" w:cstheme="minorHAnsi"/>
          <w:sz w:val="22"/>
          <w:szCs w:val="22"/>
        </w:rPr>
        <w:t xml:space="preserve">Under </w:t>
      </w:r>
      <w:r w:rsidR="007F5C63" w:rsidRPr="001D15EE">
        <w:rPr>
          <w:rFonts w:asciiTheme="minorHAnsi" w:hAnsiTheme="minorHAnsi" w:cstheme="minorHAnsi"/>
          <w:sz w:val="22"/>
          <w:szCs w:val="22"/>
        </w:rPr>
        <w:t xml:space="preserve">Dutch law, </w:t>
      </w:r>
      <w:r w:rsidR="00011D2C" w:rsidRPr="001D15EE">
        <w:rPr>
          <w:rFonts w:asciiTheme="minorHAnsi" w:hAnsiTheme="minorHAnsi" w:cstheme="minorHAnsi"/>
          <w:sz w:val="22"/>
          <w:szCs w:val="22"/>
        </w:rPr>
        <w:t xml:space="preserve">the first instance and second instance courts examining the appeal against such a detention measure are bound by the grounds of appeal submitted by the </w:t>
      </w:r>
      <w:r w:rsidR="003133D8" w:rsidRPr="001D15EE">
        <w:rPr>
          <w:rFonts w:asciiTheme="minorHAnsi" w:hAnsiTheme="minorHAnsi" w:cstheme="minorHAnsi"/>
          <w:sz w:val="22"/>
          <w:szCs w:val="22"/>
        </w:rPr>
        <w:t>third country national (henceforth: TCN</w:t>
      </w:r>
      <w:r w:rsidR="00CF354A" w:rsidRPr="001D15EE">
        <w:rPr>
          <w:rFonts w:asciiTheme="minorHAnsi" w:hAnsiTheme="minorHAnsi" w:cstheme="minorHAnsi"/>
          <w:sz w:val="22"/>
          <w:szCs w:val="22"/>
        </w:rPr>
        <w:t>).</w:t>
      </w:r>
      <w:r w:rsidR="00011D2C" w:rsidRPr="001D15EE">
        <w:rPr>
          <w:rStyle w:val="FootnoteReference"/>
          <w:rFonts w:asciiTheme="minorHAnsi" w:hAnsiTheme="minorHAnsi" w:cstheme="minorHAnsi"/>
          <w:sz w:val="22"/>
          <w:szCs w:val="22"/>
        </w:rPr>
        <w:footnoteReference w:id="2"/>
      </w:r>
      <w:r w:rsidR="00011D2C" w:rsidRPr="001D15EE">
        <w:rPr>
          <w:rFonts w:asciiTheme="minorHAnsi" w:hAnsiTheme="minorHAnsi" w:cstheme="minorHAnsi"/>
          <w:sz w:val="22"/>
          <w:szCs w:val="22"/>
        </w:rPr>
        <w:t xml:space="preserve"> They are not allowed to </w:t>
      </w:r>
      <w:r w:rsidR="003133D8" w:rsidRPr="001D15EE">
        <w:rPr>
          <w:rFonts w:asciiTheme="minorHAnsi" w:hAnsiTheme="minorHAnsi" w:cstheme="minorHAnsi"/>
          <w:sz w:val="22"/>
          <w:szCs w:val="22"/>
        </w:rPr>
        <w:t>review</w:t>
      </w:r>
      <w:r w:rsidR="00011D2C" w:rsidRPr="001D15EE">
        <w:rPr>
          <w:rFonts w:asciiTheme="minorHAnsi" w:hAnsiTheme="minorHAnsi" w:cstheme="minorHAnsi"/>
          <w:sz w:val="22"/>
          <w:szCs w:val="22"/>
        </w:rPr>
        <w:t xml:space="preserve"> the lawfulness of the detention measure </w:t>
      </w:r>
      <w:r w:rsidR="00011D2C" w:rsidRPr="001D15EE">
        <w:rPr>
          <w:rFonts w:asciiTheme="minorHAnsi" w:hAnsiTheme="minorHAnsi" w:cstheme="minorHAnsi"/>
          <w:i/>
          <w:iCs/>
          <w:sz w:val="22"/>
          <w:szCs w:val="22"/>
        </w:rPr>
        <w:t>ex officio</w:t>
      </w:r>
      <w:r w:rsidR="00011D2C" w:rsidRPr="001D15EE">
        <w:rPr>
          <w:rFonts w:asciiTheme="minorHAnsi" w:hAnsiTheme="minorHAnsi" w:cstheme="minorHAnsi"/>
          <w:sz w:val="22"/>
          <w:szCs w:val="22"/>
        </w:rPr>
        <w:t>. As a result, a Dutch court</w:t>
      </w:r>
      <w:r w:rsidR="00C9365C" w:rsidRPr="001D15EE">
        <w:rPr>
          <w:rFonts w:asciiTheme="minorHAnsi" w:hAnsiTheme="minorHAnsi" w:cstheme="minorHAnsi"/>
          <w:sz w:val="22"/>
          <w:szCs w:val="22"/>
        </w:rPr>
        <w:t>,</w:t>
      </w:r>
      <w:r w:rsidR="00011D2C" w:rsidRPr="001D15EE">
        <w:rPr>
          <w:rFonts w:asciiTheme="minorHAnsi" w:hAnsiTheme="minorHAnsi" w:cstheme="minorHAnsi"/>
          <w:sz w:val="22"/>
          <w:szCs w:val="22"/>
        </w:rPr>
        <w:t xml:space="preserve"> which is aware </w:t>
      </w:r>
      <w:r w:rsidR="00041272">
        <w:rPr>
          <w:rFonts w:asciiTheme="minorHAnsi" w:hAnsiTheme="minorHAnsi" w:cstheme="minorHAnsi"/>
          <w:sz w:val="22"/>
          <w:szCs w:val="22"/>
        </w:rPr>
        <w:t>that a</w:t>
      </w:r>
      <w:r w:rsidR="00011D2C" w:rsidRPr="001D15EE">
        <w:rPr>
          <w:rFonts w:asciiTheme="minorHAnsi" w:hAnsiTheme="minorHAnsi" w:cstheme="minorHAnsi"/>
          <w:sz w:val="22"/>
          <w:szCs w:val="22"/>
        </w:rPr>
        <w:t xml:space="preserve"> detention measure</w:t>
      </w:r>
      <w:r w:rsidR="00041272">
        <w:rPr>
          <w:rFonts w:asciiTheme="minorHAnsi" w:hAnsiTheme="minorHAnsi" w:cstheme="minorHAnsi"/>
          <w:sz w:val="22"/>
          <w:szCs w:val="22"/>
        </w:rPr>
        <w:t xml:space="preserve"> is unlawful on a particular ground, for example because there is no prospect of removal</w:t>
      </w:r>
      <w:r w:rsidR="003133D8" w:rsidRPr="001D15EE">
        <w:rPr>
          <w:rFonts w:asciiTheme="minorHAnsi" w:hAnsiTheme="minorHAnsi" w:cstheme="minorHAnsi"/>
          <w:sz w:val="22"/>
          <w:szCs w:val="22"/>
        </w:rPr>
        <w:t>,</w:t>
      </w:r>
      <w:r w:rsidR="00011D2C" w:rsidRPr="001D15EE">
        <w:rPr>
          <w:rFonts w:asciiTheme="minorHAnsi" w:hAnsiTheme="minorHAnsi" w:cstheme="minorHAnsi"/>
          <w:sz w:val="22"/>
          <w:szCs w:val="22"/>
        </w:rPr>
        <w:t xml:space="preserve"> cannot quash this measure and release the </w:t>
      </w:r>
      <w:r w:rsidR="003133D8" w:rsidRPr="001D15EE">
        <w:rPr>
          <w:rFonts w:asciiTheme="minorHAnsi" w:hAnsiTheme="minorHAnsi" w:cstheme="minorHAnsi"/>
          <w:sz w:val="22"/>
          <w:szCs w:val="22"/>
        </w:rPr>
        <w:t>TCN</w:t>
      </w:r>
      <w:r w:rsidR="00011D2C" w:rsidRPr="001D15EE">
        <w:rPr>
          <w:rFonts w:asciiTheme="minorHAnsi" w:hAnsiTheme="minorHAnsi" w:cstheme="minorHAnsi"/>
          <w:sz w:val="22"/>
          <w:szCs w:val="22"/>
        </w:rPr>
        <w:t xml:space="preserve">, if the </w:t>
      </w:r>
      <w:r w:rsidR="003133D8" w:rsidRPr="001D15EE">
        <w:rPr>
          <w:rFonts w:asciiTheme="minorHAnsi" w:hAnsiTheme="minorHAnsi" w:cstheme="minorHAnsi"/>
          <w:sz w:val="22"/>
          <w:szCs w:val="22"/>
        </w:rPr>
        <w:t>TCN</w:t>
      </w:r>
      <w:r w:rsidR="00011D2C" w:rsidRPr="001D15EE">
        <w:rPr>
          <w:rFonts w:asciiTheme="minorHAnsi" w:hAnsiTheme="minorHAnsi" w:cstheme="minorHAnsi"/>
          <w:sz w:val="22"/>
          <w:szCs w:val="22"/>
        </w:rPr>
        <w:t xml:space="preserve"> has not raised th</w:t>
      </w:r>
      <w:r w:rsidR="00041272">
        <w:rPr>
          <w:rFonts w:asciiTheme="minorHAnsi" w:hAnsiTheme="minorHAnsi" w:cstheme="minorHAnsi"/>
          <w:sz w:val="22"/>
          <w:szCs w:val="22"/>
        </w:rPr>
        <w:t>is particular ground to argue that the detention is</w:t>
      </w:r>
      <w:r w:rsidR="00011D2C" w:rsidRPr="001D15EE">
        <w:rPr>
          <w:rFonts w:asciiTheme="minorHAnsi" w:hAnsiTheme="minorHAnsi" w:cstheme="minorHAnsi"/>
          <w:sz w:val="22"/>
          <w:szCs w:val="22"/>
        </w:rPr>
        <w:t xml:space="preserve"> unlawful. </w:t>
      </w:r>
      <w:r w:rsidR="00C9365C" w:rsidRPr="001D15EE">
        <w:rPr>
          <w:rFonts w:asciiTheme="minorHAnsi" w:hAnsiTheme="minorHAnsi" w:cstheme="minorHAnsi"/>
          <w:sz w:val="22"/>
          <w:szCs w:val="22"/>
        </w:rPr>
        <w:t>In the Netherlands,</w:t>
      </w:r>
      <w:r w:rsidR="00011D2C" w:rsidRPr="001D15EE">
        <w:rPr>
          <w:rFonts w:asciiTheme="minorHAnsi" w:hAnsiTheme="minorHAnsi" w:cstheme="minorHAnsi"/>
          <w:sz w:val="22"/>
          <w:szCs w:val="22"/>
        </w:rPr>
        <w:t xml:space="preserve"> </w:t>
      </w:r>
      <w:r w:rsidR="00C9365C" w:rsidRPr="001D15EE">
        <w:rPr>
          <w:rFonts w:asciiTheme="minorHAnsi" w:hAnsiTheme="minorHAnsi" w:cstheme="minorHAnsi"/>
          <w:sz w:val="22"/>
          <w:szCs w:val="22"/>
        </w:rPr>
        <w:t xml:space="preserve">courts disagree whether this situation is in conformity with EU law. </w:t>
      </w:r>
      <w:r w:rsidR="00C9365C" w:rsidRPr="001D15EE">
        <w:rPr>
          <w:rFonts w:asciiTheme="minorHAnsi" w:eastAsia="Calibri" w:hAnsiTheme="minorHAnsi" w:cstheme="minorHAnsi"/>
          <w:sz w:val="22"/>
          <w:szCs w:val="22"/>
        </w:rPr>
        <w:t xml:space="preserve">The judge of the (first instance) District Court, who referred the preliminary questions in Case </w:t>
      </w:r>
      <w:r w:rsidR="00C9365C" w:rsidRPr="001D15EE">
        <w:rPr>
          <w:rFonts w:asciiTheme="minorHAnsi" w:hAnsiTheme="minorHAnsi" w:cstheme="minorHAnsi"/>
          <w:sz w:val="22"/>
          <w:szCs w:val="22"/>
          <w:shd w:val="clear" w:color="auto" w:fill="FFFFFF"/>
        </w:rPr>
        <w:t>C-39/21 PPU,</w:t>
      </w:r>
      <w:r w:rsidR="00C9365C" w:rsidRPr="001D15EE">
        <w:rPr>
          <w:rFonts w:asciiTheme="minorHAnsi" w:eastAsia="Calibri" w:hAnsiTheme="minorHAnsi" w:cstheme="minorHAnsi"/>
          <w:sz w:val="22"/>
          <w:szCs w:val="22"/>
        </w:rPr>
        <w:t xml:space="preserve"> </w:t>
      </w:r>
      <w:r w:rsidR="002F77CF">
        <w:rPr>
          <w:rFonts w:asciiTheme="minorHAnsi" w:eastAsia="Calibri" w:hAnsiTheme="minorHAnsi" w:cstheme="minorHAnsi"/>
          <w:sz w:val="22"/>
          <w:szCs w:val="22"/>
        </w:rPr>
        <w:t xml:space="preserve">regularly </w:t>
      </w:r>
      <w:r w:rsidR="00C9365C" w:rsidRPr="001D15EE">
        <w:rPr>
          <w:rFonts w:asciiTheme="minorHAnsi" w:eastAsia="Calibri" w:hAnsiTheme="minorHAnsi" w:cstheme="minorHAnsi"/>
          <w:sz w:val="22"/>
          <w:szCs w:val="22"/>
        </w:rPr>
        <w:t xml:space="preserve">conducts an </w:t>
      </w:r>
      <w:r w:rsidR="00C9365C" w:rsidRPr="001D15EE">
        <w:rPr>
          <w:rFonts w:asciiTheme="minorHAnsi" w:eastAsia="Calibri" w:hAnsiTheme="minorHAnsi" w:cstheme="minorHAnsi"/>
          <w:i/>
          <w:iCs/>
          <w:sz w:val="22"/>
          <w:szCs w:val="22"/>
        </w:rPr>
        <w:t>ex officio</w:t>
      </w:r>
      <w:r w:rsidR="00C9365C" w:rsidRPr="001D15EE">
        <w:rPr>
          <w:rFonts w:asciiTheme="minorHAnsi" w:eastAsia="Calibri" w:hAnsiTheme="minorHAnsi" w:cstheme="minorHAnsi"/>
          <w:sz w:val="22"/>
          <w:szCs w:val="22"/>
        </w:rPr>
        <w:t xml:space="preserve"> review and quashes the detention measure whe</w:t>
      </w:r>
      <w:r w:rsidR="00041272">
        <w:rPr>
          <w:rFonts w:asciiTheme="minorHAnsi" w:eastAsia="Calibri" w:hAnsiTheme="minorHAnsi" w:cstheme="minorHAnsi"/>
          <w:sz w:val="22"/>
          <w:szCs w:val="22"/>
        </w:rPr>
        <w:t>n</w:t>
      </w:r>
      <w:r w:rsidR="00C9365C" w:rsidRPr="001D15EE">
        <w:rPr>
          <w:rFonts w:asciiTheme="minorHAnsi" w:eastAsia="Calibri" w:hAnsiTheme="minorHAnsi" w:cstheme="minorHAnsi"/>
          <w:sz w:val="22"/>
          <w:szCs w:val="22"/>
        </w:rPr>
        <w:t xml:space="preserve"> she </w:t>
      </w:r>
      <w:r w:rsidR="002F77CF">
        <w:rPr>
          <w:rFonts w:asciiTheme="minorHAnsi" w:eastAsia="Calibri" w:hAnsiTheme="minorHAnsi" w:cstheme="minorHAnsi"/>
          <w:sz w:val="22"/>
          <w:szCs w:val="22"/>
        </w:rPr>
        <w:t xml:space="preserve">identifies </w:t>
      </w:r>
      <w:r w:rsidR="00C9365C" w:rsidRPr="001D15EE">
        <w:rPr>
          <w:rFonts w:asciiTheme="minorHAnsi" w:eastAsia="Calibri" w:hAnsiTheme="minorHAnsi" w:cstheme="minorHAnsi"/>
          <w:sz w:val="22"/>
          <w:szCs w:val="22"/>
        </w:rPr>
        <w:t>a</w:t>
      </w:r>
      <w:r w:rsidR="00041272">
        <w:rPr>
          <w:rFonts w:asciiTheme="minorHAnsi" w:eastAsia="Calibri" w:hAnsiTheme="minorHAnsi" w:cstheme="minorHAnsi"/>
          <w:sz w:val="22"/>
          <w:szCs w:val="22"/>
        </w:rPr>
        <w:t xml:space="preserve"> factual or legal circumstance resulting in </w:t>
      </w:r>
      <w:r w:rsidR="00C9365C" w:rsidRPr="001D15EE">
        <w:rPr>
          <w:rFonts w:asciiTheme="minorHAnsi" w:eastAsia="Calibri" w:hAnsiTheme="minorHAnsi" w:cstheme="minorHAnsi"/>
          <w:sz w:val="22"/>
          <w:szCs w:val="22"/>
        </w:rPr>
        <w:t>unlawful</w:t>
      </w:r>
      <w:r w:rsidR="00041272">
        <w:rPr>
          <w:rFonts w:asciiTheme="minorHAnsi" w:eastAsia="Calibri" w:hAnsiTheme="minorHAnsi" w:cstheme="minorHAnsi"/>
          <w:sz w:val="22"/>
          <w:szCs w:val="22"/>
        </w:rPr>
        <w:t xml:space="preserve"> detention</w:t>
      </w:r>
      <w:r w:rsidR="00C9365C" w:rsidRPr="001D15EE">
        <w:rPr>
          <w:rFonts w:asciiTheme="minorHAnsi" w:eastAsia="Calibri" w:hAnsiTheme="minorHAnsi" w:cstheme="minorHAnsi"/>
          <w:sz w:val="22"/>
          <w:szCs w:val="22"/>
        </w:rPr>
        <w:t xml:space="preserve">, </w:t>
      </w:r>
      <w:r w:rsidR="00041272">
        <w:rPr>
          <w:rFonts w:asciiTheme="minorHAnsi" w:eastAsia="Calibri" w:hAnsiTheme="minorHAnsi" w:cstheme="minorHAnsi"/>
          <w:sz w:val="22"/>
          <w:szCs w:val="22"/>
        </w:rPr>
        <w:t>even if this circumstance</w:t>
      </w:r>
      <w:r w:rsidR="00C9365C" w:rsidRPr="001D15EE">
        <w:rPr>
          <w:rFonts w:asciiTheme="minorHAnsi" w:eastAsia="Calibri" w:hAnsiTheme="minorHAnsi" w:cstheme="minorHAnsi"/>
          <w:sz w:val="22"/>
          <w:szCs w:val="22"/>
        </w:rPr>
        <w:t xml:space="preserve"> </w:t>
      </w:r>
      <w:r w:rsidR="002F77CF">
        <w:rPr>
          <w:rFonts w:asciiTheme="minorHAnsi" w:eastAsia="Calibri" w:hAnsiTheme="minorHAnsi" w:cstheme="minorHAnsi"/>
          <w:sz w:val="22"/>
          <w:szCs w:val="22"/>
        </w:rPr>
        <w:t>has</w:t>
      </w:r>
      <w:r w:rsidR="00C9365C" w:rsidRPr="001D15EE">
        <w:rPr>
          <w:rFonts w:asciiTheme="minorHAnsi" w:eastAsia="Calibri" w:hAnsiTheme="minorHAnsi" w:cstheme="minorHAnsi"/>
          <w:sz w:val="22"/>
          <w:szCs w:val="22"/>
        </w:rPr>
        <w:t xml:space="preserve"> not </w:t>
      </w:r>
      <w:r w:rsidR="002F77CF">
        <w:rPr>
          <w:rFonts w:asciiTheme="minorHAnsi" w:eastAsia="Calibri" w:hAnsiTheme="minorHAnsi" w:cstheme="minorHAnsi"/>
          <w:sz w:val="22"/>
          <w:szCs w:val="22"/>
        </w:rPr>
        <w:t xml:space="preserve">been </w:t>
      </w:r>
      <w:r w:rsidR="00C9365C" w:rsidRPr="001D15EE">
        <w:rPr>
          <w:rFonts w:asciiTheme="minorHAnsi" w:eastAsia="Calibri" w:hAnsiTheme="minorHAnsi" w:cstheme="minorHAnsi"/>
          <w:sz w:val="22"/>
          <w:szCs w:val="22"/>
        </w:rPr>
        <w:t xml:space="preserve">raised by the </w:t>
      </w:r>
      <w:r w:rsidR="003133D8" w:rsidRPr="001D15EE">
        <w:rPr>
          <w:rFonts w:asciiTheme="minorHAnsi" w:eastAsia="Calibri" w:hAnsiTheme="minorHAnsi" w:cstheme="minorHAnsi"/>
          <w:sz w:val="22"/>
          <w:szCs w:val="22"/>
        </w:rPr>
        <w:t>TCN</w:t>
      </w:r>
      <w:r w:rsidR="00041272">
        <w:rPr>
          <w:rFonts w:asciiTheme="minorHAnsi" w:eastAsia="Calibri" w:hAnsiTheme="minorHAnsi" w:cstheme="minorHAnsi"/>
          <w:sz w:val="22"/>
          <w:szCs w:val="22"/>
        </w:rPr>
        <w:t xml:space="preserve"> in the grounds of appeal</w:t>
      </w:r>
      <w:r w:rsidR="00C9365C" w:rsidRPr="001D15EE">
        <w:rPr>
          <w:rFonts w:asciiTheme="minorHAnsi" w:eastAsia="Calibri" w:hAnsiTheme="minorHAnsi" w:cstheme="minorHAnsi"/>
          <w:sz w:val="22"/>
          <w:szCs w:val="22"/>
        </w:rPr>
        <w:t xml:space="preserve">. She </w:t>
      </w:r>
      <w:r w:rsidR="00F11C17" w:rsidRPr="001D15EE">
        <w:rPr>
          <w:rFonts w:asciiTheme="minorHAnsi" w:eastAsia="Calibri" w:hAnsiTheme="minorHAnsi" w:cstheme="minorHAnsi"/>
          <w:sz w:val="22"/>
          <w:szCs w:val="22"/>
        </w:rPr>
        <w:t xml:space="preserve">acts as a </w:t>
      </w:r>
      <w:r w:rsidR="00F11C17" w:rsidRPr="001D15EE">
        <w:rPr>
          <w:rFonts w:asciiTheme="minorHAnsi" w:eastAsia="Calibri" w:hAnsiTheme="minorHAnsi" w:cstheme="minorHAnsi"/>
          <w:i/>
          <w:iCs/>
          <w:sz w:val="22"/>
          <w:szCs w:val="22"/>
        </w:rPr>
        <w:t>habeas corpus</w:t>
      </w:r>
      <w:r w:rsidR="00F11C17" w:rsidRPr="001D15EE">
        <w:rPr>
          <w:rFonts w:asciiTheme="minorHAnsi" w:eastAsia="Calibri" w:hAnsiTheme="minorHAnsi" w:cstheme="minorHAnsi"/>
          <w:sz w:val="22"/>
          <w:szCs w:val="22"/>
        </w:rPr>
        <w:t xml:space="preserve"> judge, who takes the role of a guar</w:t>
      </w:r>
      <w:r w:rsidR="00B467E9">
        <w:rPr>
          <w:rFonts w:asciiTheme="minorHAnsi" w:eastAsia="Calibri" w:hAnsiTheme="minorHAnsi" w:cstheme="minorHAnsi"/>
          <w:sz w:val="22"/>
          <w:szCs w:val="22"/>
        </w:rPr>
        <w:t>antor</w:t>
      </w:r>
      <w:r w:rsidR="00F11C17" w:rsidRPr="001D15EE">
        <w:rPr>
          <w:rFonts w:asciiTheme="minorHAnsi" w:eastAsia="Calibri" w:hAnsiTheme="minorHAnsi" w:cstheme="minorHAnsi"/>
          <w:sz w:val="22"/>
          <w:szCs w:val="22"/>
        </w:rPr>
        <w:t xml:space="preserve"> of human rights, </w:t>
      </w:r>
      <w:r w:rsidR="003133D8" w:rsidRPr="001D15EE">
        <w:rPr>
          <w:rFonts w:asciiTheme="minorHAnsi" w:eastAsia="Calibri" w:hAnsiTheme="minorHAnsi" w:cstheme="minorHAnsi"/>
          <w:sz w:val="22"/>
          <w:szCs w:val="22"/>
        </w:rPr>
        <w:t xml:space="preserve">a judge </w:t>
      </w:r>
      <w:r w:rsidR="00C9365C" w:rsidRPr="001D15EE">
        <w:rPr>
          <w:rFonts w:asciiTheme="minorHAnsi" w:eastAsia="Calibri" w:hAnsiTheme="minorHAnsi" w:cstheme="minorHAnsi"/>
          <w:sz w:val="22"/>
          <w:szCs w:val="22"/>
        </w:rPr>
        <w:t xml:space="preserve">who must </w:t>
      </w:r>
      <w:r w:rsidR="00C9365C" w:rsidRPr="001D15EE">
        <w:rPr>
          <w:rFonts w:asciiTheme="minorHAnsi" w:eastAsia="Calibri" w:hAnsiTheme="minorHAnsi" w:cstheme="minorHAnsi"/>
          <w:i/>
          <w:iCs/>
          <w:sz w:val="22"/>
          <w:szCs w:val="22"/>
        </w:rPr>
        <w:t>actively</w:t>
      </w:r>
      <w:r w:rsidR="00C9365C" w:rsidRPr="001D15EE">
        <w:rPr>
          <w:rFonts w:asciiTheme="minorHAnsi" w:eastAsia="Calibri" w:hAnsiTheme="minorHAnsi" w:cstheme="minorHAnsi"/>
          <w:sz w:val="22"/>
          <w:szCs w:val="22"/>
        </w:rPr>
        <w:t xml:space="preserve"> ensure that the detention measure is in accordance with law. The (second instance) Administrative Jurisdiction Division of the Council of State (henceforth</w:t>
      </w:r>
      <w:r w:rsidR="00F11C17" w:rsidRPr="001D15EE">
        <w:rPr>
          <w:rFonts w:asciiTheme="minorHAnsi" w:eastAsia="Calibri" w:hAnsiTheme="minorHAnsi" w:cstheme="minorHAnsi"/>
          <w:sz w:val="22"/>
          <w:szCs w:val="22"/>
        </w:rPr>
        <w:t>:</w:t>
      </w:r>
      <w:r w:rsidR="00C9365C" w:rsidRPr="001D15EE">
        <w:rPr>
          <w:rFonts w:asciiTheme="minorHAnsi" w:eastAsia="Calibri" w:hAnsiTheme="minorHAnsi" w:cstheme="minorHAnsi"/>
          <w:sz w:val="22"/>
          <w:szCs w:val="22"/>
        </w:rPr>
        <w:t xml:space="preserve"> </w:t>
      </w:r>
      <w:r w:rsidR="002F77CF">
        <w:rPr>
          <w:rFonts w:asciiTheme="minorHAnsi" w:eastAsia="Calibri" w:hAnsiTheme="minorHAnsi" w:cstheme="minorHAnsi"/>
          <w:sz w:val="22"/>
          <w:szCs w:val="22"/>
        </w:rPr>
        <w:t xml:space="preserve">the </w:t>
      </w:r>
      <w:r w:rsidR="00C9365C" w:rsidRPr="001D15EE">
        <w:rPr>
          <w:rFonts w:asciiTheme="minorHAnsi" w:eastAsia="Calibri" w:hAnsiTheme="minorHAnsi" w:cstheme="minorHAnsi"/>
          <w:sz w:val="22"/>
          <w:szCs w:val="22"/>
        </w:rPr>
        <w:t>Council of State), on the other hand, rejects such judicial authority and has consistently ruled that the detention judge is bound by the arguments presented by the parties, as in other administrative law cases.</w:t>
      </w:r>
      <w:r w:rsidR="00011D2C" w:rsidRPr="001D15EE">
        <w:rPr>
          <w:rFonts w:asciiTheme="minorHAnsi" w:hAnsiTheme="minorHAnsi" w:cstheme="minorHAnsi"/>
          <w:sz w:val="22"/>
          <w:szCs w:val="22"/>
        </w:rPr>
        <w:t xml:space="preserve"> </w:t>
      </w:r>
    </w:p>
    <w:p w14:paraId="60B7B3FC" w14:textId="0240FECA" w:rsidR="00B7021A" w:rsidRPr="001D15EE" w:rsidRDefault="00011D2C"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ab/>
      </w:r>
    </w:p>
    <w:p w14:paraId="1CAAD614" w14:textId="71EDC195" w:rsidR="00B7021A" w:rsidRPr="001D15EE" w:rsidRDefault="000279A3" w:rsidP="007F72D6">
      <w:pPr>
        <w:pStyle w:val="Heading2"/>
        <w:spacing w:line="276" w:lineRule="auto"/>
        <w:rPr>
          <w:rFonts w:asciiTheme="minorHAnsi" w:hAnsiTheme="minorHAnsi" w:cstheme="minorHAnsi"/>
          <w:sz w:val="22"/>
          <w:szCs w:val="22"/>
        </w:rPr>
      </w:pPr>
      <w:bookmarkStart w:id="3" w:name="_Toc57327717"/>
      <w:bookmarkStart w:id="4" w:name="_Toc57341693"/>
      <w:bookmarkStart w:id="5" w:name="_Toc66828019"/>
      <w:r w:rsidRPr="001D15EE">
        <w:rPr>
          <w:rFonts w:asciiTheme="minorHAnsi" w:hAnsiTheme="minorHAnsi" w:cstheme="minorHAnsi"/>
          <w:iCs/>
          <w:sz w:val="22"/>
          <w:szCs w:val="22"/>
        </w:rPr>
        <w:t>1.1</w:t>
      </w:r>
      <w:bookmarkEnd w:id="3"/>
      <w:bookmarkEnd w:id="4"/>
      <w:r w:rsidR="00805D6A" w:rsidRPr="001D15EE">
        <w:rPr>
          <w:rFonts w:asciiTheme="minorHAnsi" w:hAnsiTheme="minorHAnsi" w:cstheme="minorHAnsi"/>
          <w:iCs/>
          <w:sz w:val="22"/>
          <w:szCs w:val="22"/>
        </w:rPr>
        <w:t xml:space="preserve"> </w:t>
      </w:r>
      <w:r w:rsidR="00011D2C" w:rsidRPr="001D15EE">
        <w:rPr>
          <w:rFonts w:asciiTheme="minorHAnsi" w:hAnsiTheme="minorHAnsi" w:cstheme="minorHAnsi"/>
          <w:sz w:val="22"/>
          <w:szCs w:val="22"/>
        </w:rPr>
        <w:t>Prohibition, competence or requirement</w:t>
      </w:r>
      <w:r w:rsidR="003133D8" w:rsidRPr="001D15EE">
        <w:rPr>
          <w:rFonts w:asciiTheme="minorHAnsi" w:hAnsiTheme="minorHAnsi" w:cstheme="minorHAnsi"/>
          <w:sz w:val="22"/>
          <w:szCs w:val="22"/>
        </w:rPr>
        <w:t xml:space="preserve"> of </w:t>
      </w:r>
      <w:r w:rsidR="003133D8" w:rsidRPr="001D15EE">
        <w:rPr>
          <w:rFonts w:asciiTheme="minorHAnsi" w:hAnsiTheme="minorHAnsi" w:cstheme="minorHAnsi"/>
          <w:i/>
          <w:iCs/>
          <w:sz w:val="22"/>
          <w:szCs w:val="22"/>
        </w:rPr>
        <w:t>ex officio</w:t>
      </w:r>
      <w:r w:rsidR="003133D8" w:rsidRPr="001D15EE">
        <w:rPr>
          <w:rFonts w:asciiTheme="minorHAnsi" w:hAnsiTheme="minorHAnsi" w:cstheme="minorHAnsi"/>
          <w:sz w:val="22"/>
          <w:szCs w:val="22"/>
        </w:rPr>
        <w:t xml:space="preserve"> review</w:t>
      </w:r>
      <w:r w:rsidR="00011D2C" w:rsidRPr="001D15EE">
        <w:rPr>
          <w:rFonts w:asciiTheme="minorHAnsi" w:hAnsiTheme="minorHAnsi" w:cstheme="minorHAnsi"/>
          <w:sz w:val="22"/>
          <w:szCs w:val="22"/>
        </w:rPr>
        <w:t>?</w:t>
      </w:r>
      <w:bookmarkEnd w:id="5"/>
      <w:r w:rsidR="00B7021A" w:rsidRPr="001D15EE">
        <w:rPr>
          <w:rFonts w:asciiTheme="minorHAnsi" w:hAnsiTheme="minorHAnsi" w:cstheme="minorHAnsi"/>
          <w:sz w:val="22"/>
          <w:szCs w:val="22"/>
        </w:rPr>
        <w:t xml:space="preserve"> </w:t>
      </w:r>
    </w:p>
    <w:p w14:paraId="4EECD9D6" w14:textId="77777777" w:rsidR="000279A3" w:rsidRPr="001D15EE" w:rsidRDefault="000279A3" w:rsidP="007F72D6">
      <w:pPr>
        <w:spacing w:line="276" w:lineRule="auto"/>
        <w:jc w:val="both"/>
        <w:rPr>
          <w:rFonts w:asciiTheme="minorHAnsi" w:hAnsiTheme="minorHAnsi" w:cstheme="minorHAnsi"/>
          <w:sz w:val="22"/>
          <w:szCs w:val="22"/>
        </w:rPr>
      </w:pPr>
    </w:p>
    <w:p w14:paraId="38A92B56" w14:textId="7E73C652" w:rsidR="00F11C17" w:rsidRPr="001D15EE" w:rsidRDefault="00F11C17"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Article 15(2) Return Directive provides that ‘detention shall be ordered by administrative or judicial authorities’. Where detention is ordered by administrative authorities, the </w:t>
      </w:r>
      <w:r w:rsidR="003133D8" w:rsidRPr="001D15EE">
        <w:rPr>
          <w:rFonts w:asciiTheme="minorHAnsi" w:hAnsiTheme="minorHAnsi" w:cstheme="minorHAnsi"/>
          <w:sz w:val="22"/>
          <w:szCs w:val="22"/>
        </w:rPr>
        <w:t>TCN</w:t>
      </w:r>
      <w:r w:rsidRPr="001D15EE">
        <w:rPr>
          <w:rFonts w:asciiTheme="minorHAnsi" w:hAnsiTheme="minorHAnsi" w:cstheme="minorHAnsi"/>
          <w:sz w:val="22"/>
          <w:szCs w:val="22"/>
        </w:rPr>
        <w:t xml:space="preserve"> sh</w:t>
      </w:r>
      <w:r w:rsidR="00B467E9">
        <w:rPr>
          <w:rFonts w:asciiTheme="minorHAnsi" w:hAnsiTheme="minorHAnsi" w:cstheme="minorHAnsi"/>
          <w:sz w:val="22"/>
          <w:szCs w:val="22"/>
        </w:rPr>
        <w:t>all</w:t>
      </w:r>
      <w:r w:rsidRPr="001D15EE">
        <w:rPr>
          <w:rFonts w:asciiTheme="minorHAnsi" w:hAnsiTheme="minorHAnsi" w:cstheme="minorHAnsi"/>
          <w:sz w:val="22"/>
          <w:szCs w:val="22"/>
        </w:rPr>
        <w:t xml:space="preserve"> have access to a speedy judicial review of the lawfulness of detention. Article 15(2) Return Directive also </w:t>
      </w:r>
      <w:r w:rsidR="003133D8" w:rsidRPr="001D15EE">
        <w:rPr>
          <w:rFonts w:asciiTheme="minorHAnsi" w:hAnsiTheme="minorHAnsi" w:cstheme="minorHAnsi"/>
          <w:sz w:val="22"/>
          <w:szCs w:val="22"/>
        </w:rPr>
        <w:t xml:space="preserve">requires that the TCN shall be released immediately if the detention is not lawful. Article 15(2) does not contain any </w:t>
      </w:r>
      <w:r w:rsidR="00B467E9">
        <w:rPr>
          <w:rFonts w:asciiTheme="minorHAnsi" w:hAnsiTheme="minorHAnsi" w:cstheme="minorHAnsi"/>
          <w:sz w:val="22"/>
          <w:szCs w:val="22"/>
        </w:rPr>
        <w:t xml:space="preserve">explicit </w:t>
      </w:r>
      <w:r w:rsidR="003133D8" w:rsidRPr="001D15EE">
        <w:rPr>
          <w:rFonts w:asciiTheme="minorHAnsi" w:hAnsiTheme="minorHAnsi" w:cstheme="minorHAnsi"/>
          <w:sz w:val="22"/>
          <w:szCs w:val="22"/>
        </w:rPr>
        <w:t xml:space="preserve">rules on whether the judge should review the detention </w:t>
      </w:r>
      <w:r w:rsidR="003133D8" w:rsidRPr="001D15EE">
        <w:rPr>
          <w:rFonts w:asciiTheme="minorHAnsi" w:hAnsiTheme="minorHAnsi" w:cstheme="minorHAnsi"/>
          <w:i/>
          <w:iCs/>
          <w:sz w:val="22"/>
          <w:szCs w:val="22"/>
        </w:rPr>
        <w:t>ex officio</w:t>
      </w:r>
      <w:r w:rsidR="003133D8" w:rsidRPr="001D15EE">
        <w:rPr>
          <w:rFonts w:asciiTheme="minorHAnsi" w:hAnsiTheme="minorHAnsi" w:cstheme="minorHAnsi"/>
          <w:sz w:val="22"/>
          <w:szCs w:val="22"/>
        </w:rPr>
        <w:t xml:space="preserve">. </w:t>
      </w:r>
      <w:r w:rsidR="00041272">
        <w:rPr>
          <w:rFonts w:asciiTheme="minorHAnsi" w:hAnsiTheme="minorHAnsi" w:cstheme="minorHAnsi"/>
          <w:sz w:val="22"/>
          <w:szCs w:val="22"/>
        </w:rPr>
        <w:t xml:space="preserve">As we will show in this expert opinion, </w:t>
      </w:r>
      <w:r w:rsidR="003133D8" w:rsidRPr="001D15EE">
        <w:rPr>
          <w:rFonts w:asciiTheme="minorHAnsi" w:hAnsiTheme="minorHAnsi" w:cstheme="minorHAnsi"/>
          <w:sz w:val="22"/>
          <w:szCs w:val="22"/>
        </w:rPr>
        <w:t xml:space="preserve">Member States </w:t>
      </w:r>
      <w:r w:rsidR="00041272">
        <w:rPr>
          <w:rFonts w:asciiTheme="minorHAnsi" w:hAnsiTheme="minorHAnsi" w:cstheme="minorHAnsi"/>
          <w:sz w:val="22"/>
          <w:szCs w:val="22"/>
        </w:rPr>
        <w:t>have different legal practices concerning ex officio review in detention cases</w:t>
      </w:r>
      <w:r w:rsidR="003133D8" w:rsidRPr="001D15EE">
        <w:rPr>
          <w:rFonts w:asciiTheme="minorHAnsi" w:hAnsiTheme="minorHAnsi" w:cstheme="minorHAnsi"/>
          <w:sz w:val="22"/>
          <w:szCs w:val="22"/>
        </w:rPr>
        <w:t xml:space="preserve">. </w:t>
      </w:r>
      <w:r w:rsidR="00B467E9">
        <w:rPr>
          <w:rFonts w:asciiTheme="minorHAnsi" w:hAnsiTheme="minorHAnsi" w:cstheme="minorHAnsi"/>
          <w:sz w:val="22"/>
          <w:szCs w:val="22"/>
        </w:rPr>
        <w:t>T</w:t>
      </w:r>
      <w:r w:rsidR="003133D8" w:rsidRPr="001D15EE">
        <w:rPr>
          <w:rFonts w:asciiTheme="minorHAnsi" w:hAnsiTheme="minorHAnsi" w:cstheme="minorHAnsi"/>
          <w:sz w:val="22"/>
          <w:szCs w:val="22"/>
        </w:rPr>
        <w:t xml:space="preserve">here are three </w:t>
      </w:r>
      <w:r w:rsidR="00041272">
        <w:rPr>
          <w:rFonts w:asciiTheme="minorHAnsi" w:hAnsiTheme="minorHAnsi" w:cstheme="minorHAnsi"/>
          <w:sz w:val="22"/>
          <w:szCs w:val="22"/>
        </w:rPr>
        <w:t>modalities,</w:t>
      </w:r>
      <w:r w:rsidR="003133D8" w:rsidRPr="001D15EE">
        <w:rPr>
          <w:rFonts w:asciiTheme="minorHAnsi" w:hAnsiTheme="minorHAnsi" w:cstheme="minorHAnsi"/>
          <w:sz w:val="22"/>
          <w:szCs w:val="22"/>
        </w:rPr>
        <w:t xml:space="preserve"> </w:t>
      </w:r>
      <w:r w:rsidR="00041272">
        <w:rPr>
          <w:rFonts w:asciiTheme="minorHAnsi" w:hAnsiTheme="minorHAnsi" w:cstheme="minorHAnsi"/>
          <w:sz w:val="22"/>
          <w:szCs w:val="22"/>
        </w:rPr>
        <w:t>which</w:t>
      </w:r>
      <w:r w:rsidR="00B467E9">
        <w:rPr>
          <w:rFonts w:asciiTheme="minorHAnsi" w:hAnsiTheme="minorHAnsi" w:cstheme="minorHAnsi"/>
          <w:sz w:val="22"/>
          <w:szCs w:val="22"/>
        </w:rPr>
        <w:t xml:space="preserve"> </w:t>
      </w:r>
      <w:r w:rsidR="003133D8" w:rsidRPr="001D15EE">
        <w:rPr>
          <w:rFonts w:asciiTheme="minorHAnsi" w:hAnsiTheme="minorHAnsi" w:cstheme="minorHAnsi"/>
          <w:sz w:val="22"/>
          <w:szCs w:val="22"/>
        </w:rPr>
        <w:t>Member States</w:t>
      </w:r>
      <w:r w:rsidR="00041272">
        <w:rPr>
          <w:rFonts w:asciiTheme="minorHAnsi" w:hAnsiTheme="minorHAnsi" w:cstheme="minorHAnsi"/>
          <w:sz w:val="22"/>
          <w:szCs w:val="22"/>
        </w:rPr>
        <w:t xml:space="preserve"> may apply</w:t>
      </w:r>
      <w:r w:rsidR="00B467E9">
        <w:rPr>
          <w:rFonts w:asciiTheme="minorHAnsi" w:hAnsiTheme="minorHAnsi" w:cstheme="minorHAnsi"/>
          <w:sz w:val="22"/>
          <w:szCs w:val="22"/>
        </w:rPr>
        <w:t>:</w:t>
      </w:r>
      <w:r w:rsidR="003133D8" w:rsidRPr="001D15EE">
        <w:rPr>
          <w:rFonts w:asciiTheme="minorHAnsi" w:hAnsiTheme="minorHAnsi" w:cstheme="minorHAnsi"/>
          <w:sz w:val="22"/>
          <w:szCs w:val="22"/>
        </w:rPr>
        <w:t xml:space="preserve"> </w:t>
      </w:r>
    </w:p>
    <w:p w14:paraId="3062B0B1" w14:textId="77777777" w:rsidR="003133D8" w:rsidRPr="001D15EE" w:rsidRDefault="003133D8" w:rsidP="007F72D6">
      <w:pPr>
        <w:spacing w:line="276" w:lineRule="auto"/>
        <w:jc w:val="both"/>
        <w:rPr>
          <w:rFonts w:asciiTheme="minorHAnsi" w:hAnsiTheme="minorHAnsi" w:cstheme="minorHAnsi"/>
          <w:sz w:val="22"/>
          <w:szCs w:val="22"/>
        </w:rPr>
      </w:pPr>
    </w:p>
    <w:p w14:paraId="26161529" w14:textId="1C1DB769" w:rsidR="00FB51EE" w:rsidRPr="001D15EE" w:rsidRDefault="00F11C17" w:rsidP="007F72D6">
      <w:pPr>
        <w:pStyle w:val="ListParagraph"/>
        <w:numPr>
          <w:ilvl w:val="0"/>
          <w:numId w:val="12"/>
        </w:num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The national court is </w:t>
      </w:r>
      <w:r w:rsidRPr="001D15EE">
        <w:rPr>
          <w:rFonts w:asciiTheme="minorHAnsi" w:hAnsiTheme="minorHAnsi" w:cstheme="minorHAnsi"/>
          <w:i/>
          <w:iCs/>
          <w:sz w:val="22"/>
          <w:szCs w:val="22"/>
        </w:rPr>
        <w:t>not allowed</w:t>
      </w:r>
      <w:r w:rsidRPr="001D15EE">
        <w:rPr>
          <w:rFonts w:asciiTheme="minorHAnsi" w:hAnsiTheme="minorHAnsi" w:cstheme="minorHAnsi"/>
          <w:sz w:val="22"/>
          <w:szCs w:val="22"/>
        </w:rPr>
        <w:t xml:space="preserve"> to carry out an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w:t>
      </w:r>
      <w:r w:rsidR="00FB51EE" w:rsidRPr="001D15EE">
        <w:rPr>
          <w:rFonts w:asciiTheme="minorHAnsi" w:hAnsiTheme="minorHAnsi" w:cstheme="minorHAnsi"/>
          <w:sz w:val="22"/>
          <w:szCs w:val="22"/>
        </w:rPr>
        <w:t>review</w:t>
      </w:r>
      <w:r w:rsidRPr="001D15EE">
        <w:rPr>
          <w:rFonts w:asciiTheme="minorHAnsi" w:hAnsiTheme="minorHAnsi" w:cstheme="minorHAnsi"/>
          <w:sz w:val="22"/>
          <w:szCs w:val="22"/>
        </w:rPr>
        <w:t xml:space="preserve"> of the</w:t>
      </w:r>
      <w:r w:rsidR="00FB51EE" w:rsidRPr="001D15EE">
        <w:rPr>
          <w:rFonts w:asciiTheme="minorHAnsi" w:hAnsiTheme="minorHAnsi" w:cstheme="minorHAnsi"/>
          <w:sz w:val="22"/>
          <w:szCs w:val="22"/>
        </w:rPr>
        <w:t xml:space="preserve"> lawfulness of </w:t>
      </w:r>
      <w:r w:rsidR="007108FC" w:rsidRPr="001D15EE">
        <w:rPr>
          <w:rFonts w:asciiTheme="minorHAnsi" w:hAnsiTheme="minorHAnsi" w:cstheme="minorHAnsi"/>
          <w:sz w:val="22"/>
          <w:szCs w:val="22"/>
        </w:rPr>
        <w:t xml:space="preserve">(specific aspects of) </w:t>
      </w:r>
      <w:r w:rsidR="00FB51EE" w:rsidRPr="001D15EE">
        <w:rPr>
          <w:rFonts w:asciiTheme="minorHAnsi" w:hAnsiTheme="minorHAnsi" w:cstheme="minorHAnsi"/>
          <w:sz w:val="22"/>
          <w:szCs w:val="22"/>
        </w:rPr>
        <w:t>the detention;</w:t>
      </w:r>
    </w:p>
    <w:p w14:paraId="16A43E88" w14:textId="024E8DA6" w:rsidR="00FB51EE" w:rsidRPr="001D15EE" w:rsidRDefault="00FB51EE" w:rsidP="007F72D6">
      <w:pPr>
        <w:pStyle w:val="ListParagraph"/>
        <w:numPr>
          <w:ilvl w:val="0"/>
          <w:numId w:val="12"/>
        </w:num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The national court is </w:t>
      </w:r>
      <w:r w:rsidRPr="001D15EE">
        <w:rPr>
          <w:rFonts w:asciiTheme="minorHAnsi" w:hAnsiTheme="minorHAnsi" w:cstheme="minorHAnsi"/>
          <w:i/>
          <w:iCs/>
          <w:sz w:val="22"/>
          <w:szCs w:val="22"/>
        </w:rPr>
        <w:t>allowed, but not required</w:t>
      </w:r>
      <w:r w:rsidRPr="001D15EE">
        <w:rPr>
          <w:rFonts w:asciiTheme="minorHAnsi" w:hAnsiTheme="minorHAnsi" w:cstheme="minorHAnsi"/>
          <w:sz w:val="22"/>
          <w:szCs w:val="22"/>
        </w:rPr>
        <w:t xml:space="preserve"> to carry out an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of</w:t>
      </w:r>
      <w:r w:rsidR="00341110">
        <w:rPr>
          <w:rFonts w:asciiTheme="minorHAnsi" w:hAnsiTheme="minorHAnsi" w:cstheme="minorHAnsi"/>
          <w:sz w:val="22"/>
          <w:szCs w:val="22"/>
        </w:rPr>
        <w:t xml:space="preserve"> </w:t>
      </w:r>
      <w:r w:rsidRPr="001D15EE">
        <w:rPr>
          <w:rFonts w:asciiTheme="minorHAnsi" w:hAnsiTheme="minorHAnsi" w:cstheme="minorHAnsi"/>
          <w:sz w:val="22"/>
          <w:szCs w:val="22"/>
        </w:rPr>
        <w:t xml:space="preserve">the lawfulness of </w:t>
      </w:r>
      <w:r w:rsidR="007108FC" w:rsidRPr="001D15EE">
        <w:rPr>
          <w:rFonts w:asciiTheme="minorHAnsi" w:hAnsiTheme="minorHAnsi" w:cstheme="minorHAnsi"/>
          <w:sz w:val="22"/>
          <w:szCs w:val="22"/>
        </w:rPr>
        <w:t xml:space="preserve">(specific aspects of) </w:t>
      </w:r>
      <w:r w:rsidRPr="001D15EE">
        <w:rPr>
          <w:rFonts w:asciiTheme="minorHAnsi" w:hAnsiTheme="minorHAnsi" w:cstheme="minorHAnsi"/>
          <w:sz w:val="22"/>
          <w:szCs w:val="22"/>
        </w:rPr>
        <w:t>the detention;</w:t>
      </w:r>
      <w:r w:rsidR="00B467E9">
        <w:rPr>
          <w:rFonts w:asciiTheme="minorHAnsi" w:hAnsiTheme="minorHAnsi" w:cstheme="minorHAnsi"/>
          <w:sz w:val="22"/>
          <w:szCs w:val="22"/>
        </w:rPr>
        <w:t xml:space="preserve"> or</w:t>
      </w:r>
    </w:p>
    <w:p w14:paraId="687042A8" w14:textId="1DA9468D" w:rsidR="00FB51EE" w:rsidRPr="001D15EE" w:rsidRDefault="00FB51EE" w:rsidP="007F72D6">
      <w:pPr>
        <w:pStyle w:val="ListParagraph"/>
        <w:numPr>
          <w:ilvl w:val="0"/>
          <w:numId w:val="12"/>
        </w:num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The national court is </w:t>
      </w:r>
      <w:r w:rsidRPr="001D15EE">
        <w:rPr>
          <w:rFonts w:asciiTheme="minorHAnsi" w:hAnsiTheme="minorHAnsi" w:cstheme="minorHAnsi"/>
          <w:i/>
          <w:iCs/>
          <w:sz w:val="22"/>
          <w:szCs w:val="22"/>
        </w:rPr>
        <w:t>required</w:t>
      </w:r>
      <w:r w:rsidRPr="001D15EE">
        <w:rPr>
          <w:rFonts w:asciiTheme="minorHAnsi" w:hAnsiTheme="minorHAnsi" w:cstheme="minorHAnsi"/>
          <w:sz w:val="22"/>
          <w:szCs w:val="22"/>
        </w:rPr>
        <w:t xml:space="preserve"> to carry out an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of the lawfulness of </w:t>
      </w:r>
      <w:r w:rsidR="007108FC" w:rsidRPr="001D15EE">
        <w:rPr>
          <w:rFonts w:asciiTheme="minorHAnsi" w:hAnsiTheme="minorHAnsi" w:cstheme="minorHAnsi"/>
          <w:sz w:val="22"/>
          <w:szCs w:val="22"/>
        </w:rPr>
        <w:t xml:space="preserve">(specific aspects of) </w:t>
      </w:r>
      <w:r w:rsidRPr="001D15EE">
        <w:rPr>
          <w:rFonts w:asciiTheme="minorHAnsi" w:hAnsiTheme="minorHAnsi" w:cstheme="minorHAnsi"/>
          <w:sz w:val="22"/>
          <w:szCs w:val="22"/>
        </w:rPr>
        <w:t>the detention</w:t>
      </w:r>
      <w:r w:rsidR="00B467E9">
        <w:rPr>
          <w:rFonts w:asciiTheme="minorHAnsi" w:hAnsiTheme="minorHAnsi" w:cstheme="minorHAnsi"/>
          <w:sz w:val="22"/>
          <w:szCs w:val="22"/>
        </w:rPr>
        <w:t>.</w:t>
      </w:r>
    </w:p>
    <w:p w14:paraId="1ED79B74" w14:textId="77777777" w:rsidR="00FB51EE" w:rsidRPr="001D15EE" w:rsidRDefault="00FB51EE" w:rsidP="007F72D6">
      <w:pPr>
        <w:pStyle w:val="ListParagraph"/>
        <w:spacing w:line="276" w:lineRule="auto"/>
        <w:jc w:val="both"/>
        <w:rPr>
          <w:rFonts w:asciiTheme="minorHAnsi" w:hAnsiTheme="minorHAnsi" w:cstheme="minorHAnsi"/>
          <w:sz w:val="22"/>
          <w:szCs w:val="22"/>
        </w:rPr>
      </w:pPr>
    </w:p>
    <w:p w14:paraId="1035943D" w14:textId="1A7ABC12" w:rsidR="00F50659" w:rsidRPr="001D15EE" w:rsidRDefault="00FB51EE"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As will be explained further in section 2 of this expert opinion, </w:t>
      </w:r>
      <w:r w:rsidR="00B467E9">
        <w:rPr>
          <w:rFonts w:asciiTheme="minorHAnsi" w:hAnsiTheme="minorHAnsi" w:cstheme="minorHAnsi"/>
          <w:sz w:val="22"/>
          <w:szCs w:val="22"/>
        </w:rPr>
        <w:t xml:space="preserve">the first </w:t>
      </w:r>
      <w:r w:rsidR="00041272">
        <w:rPr>
          <w:rFonts w:asciiTheme="minorHAnsi" w:hAnsiTheme="minorHAnsi" w:cstheme="minorHAnsi"/>
          <w:sz w:val="22"/>
          <w:szCs w:val="22"/>
        </w:rPr>
        <w:t>modality</w:t>
      </w:r>
      <w:r w:rsidR="00B467E9">
        <w:rPr>
          <w:rFonts w:asciiTheme="minorHAnsi" w:hAnsiTheme="minorHAnsi" w:cstheme="minorHAnsi"/>
          <w:sz w:val="22"/>
          <w:szCs w:val="22"/>
        </w:rPr>
        <w:t xml:space="preserve"> </w:t>
      </w:r>
      <w:r w:rsidR="00F50659" w:rsidRPr="001D15EE">
        <w:rPr>
          <w:rFonts w:asciiTheme="minorHAnsi" w:hAnsiTheme="minorHAnsi" w:cstheme="minorHAnsi"/>
          <w:sz w:val="22"/>
          <w:szCs w:val="22"/>
        </w:rPr>
        <w:t>applies in the Netherlands</w:t>
      </w:r>
      <w:r w:rsidRPr="001D15EE">
        <w:rPr>
          <w:rFonts w:asciiTheme="minorHAnsi" w:hAnsiTheme="minorHAnsi" w:cstheme="minorHAnsi"/>
          <w:sz w:val="22"/>
          <w:szCs w:val="22"/>
        </w:rPr>
        <w:t xml:space="preserve">. The District Court of ‘s-Hertogenbosch asks the CJEU in its preliminary questions in </w:t>
      </w:r>
      <w:r w:rsidR="007F72D6">
        <w:rPr>
          <w:rFonts w:asciiTheme="minorHAnsi" w:hAnsiTheme="minorHAnsi" w:cstheme="minorHAnsi"/>
          <w:sz w:val="22"/>
          <w:szCs w:val="22"/>
        </w:rPr>
        <w:t>C</w:t>
      </w:r>
      <w:r w:rsidRPr="001D15EE">
        <w:rPr>
          <w:rFonts w:asciiTheme="minorHAnsi" w:hAnsiTheme="minorHAnsi" w:cstheme="minorHAnsi"/>
          <w:sz w:val="22"/>
          <w:szCs w:val="22"/>
        </w:rPr>
        <w:t xml:space="preserve">ase </w:t>
      </w:r>
      <w:r w:rsidRPr="001D15EE">
        <w:rPr>
          <w:rFonts w:asciiTheme="minorHAnsi" w:hAnsiTheme="minorHAnsi" w:cstheme="minorHAnsi"/>
          <w:sz w:val="22"/>
          <w:szCs w:val="22"/>
          <w:shd w:val="clear" w:color="auto" w:fill="FFFFFF"/>
        </w:rPr>
        <w:lastRenderedPageBreak/>
        <w:t xml:space="preserve">C-39/21 PPU whether EU law </w:t>
      </w:r>
      <w:r w:rsidRPr="001D15EE">
        <w:rPr>
          <w:rFonts w:asciiTheme="minorHAnsi" w:hAnsiTheme="minorHAnsi" w:cstheme="minorHAnsi"/>
          <w:i/>
          <w:iCs/>
          <w:sz w:val="22"/>
          <w:szCs w:val="22"/>
          <w:shd w:val="clear" w:color="auto" w:fill="FFFFFF"/>
        </w:rPr>
        <w:t>allows</w:t>
      </w:r>
      <w:r w:rsidRPr="001D15EE">
        <w:rPr>
          <w:rFonts w:asciiTheme="minorHAnsi" w:hAnsiTheme="minorHAnsi" w:cstheme="minorHAnsi"/>
          <w:sz w:val="22"/>
          <w:szCs w:val="22"/>
          <w:shd w:val="clear" w:color="auto" w:fill="FFFFFF"/>
        </w:rPr>
        <w:t xml:space="preserve"> Member States</w:t>
      </w:r>
      <w:r w:rsidR="00B467E9">
        <w:rPr>
          <w:rFonts w:asciiTheme="minorHAnsi" w:hAnsiTheme="minorHAnsi" w:cstheme="minorHAnsi"/>
          <w:sz w:val="22"/>
          <w:szCs w:val="22"/>
          <w:shd w:val="clear" w:color="auto" w:fill="FFFFFF"/>
        </w:rPr>
        <w:t xml:space="preserve"> to </w:t>
      </w:r>
      <w:r w:rsidR="00041272" w:rsidRPr="005F2372">
        <w:rPr>
          <w:rFonts w:asciiTheme="minorHAnsi" w:hAnsiTheme="minorHAnsi" w:cstheme="minorHAnsi"/>
          <w:i/>
          <w:iCs/>
          <w:sz w:val="22"/>
          <w:szCs w:val="22"/>
          <w:shd w:val="clear" w:color="auto" w:fill="FFFFFF"/>
        </w:rPr>
        <w:t>prohibit</w:t>
      </w:r>
      <w:r w:rsidR="00041272">
        <w:rPr>
          <w:rFonts w:asciiTheme="minorHAnsi" w:hAnsiTheme="minorHAnsi" w:cstheme="minorHAnsi"/>
          <w:sz w:val="22"/>
          <w:szCs w:val="22"/>
          <w:shd w:val="clear" w:color="auto" w:fill="FFFFFF"/>
        </w:rPr>
        <w:t xml:space="preserve"> </w:t>
      </w:r>
      <w:r w:rsidR="00041272" w:rsidRPr="00041272">
        <w:rPr>
          <w:rFonts w:asciiTheme="minorHAnsi" w:hAnsiTheme="minorHAnsi" w:cstheme="minorHAnsi"/>
          <w:i/>
          <w:iCs/>
          <w:sz w:val="22"/>
          <w:szCs w:val="22"/>
          <w:shd w:val="clear" w:color="auto" w:fill="FFFFFF"/>
        </w:rPr>
        <w:t>ex officio</w:t>
      </w:r>
      <w:r w:rsidR="00041272">
        <w:rPr>
          <w:rFonts w:asciiTheme="minorHAnsi" w:hAnsiTheme="minorHAnsi" w:cstheme="minorHAnsi"/>
          <w:sz w:val="22"/>
          <w:szCs w:val="22"/>
          <w:shd w:val="clear" w:color="auto" w:fill="FFFFFF"/>
        </w:rPr>
        <w:t xml:space="preserve"> review</w:t>
      </w:r>
      <w:r w:rsidRPr="001D15EE">
        <w:rPr>
          <w:rFonts w:asciiTheme="minorHAnsi" w:hAnsiTheme="minorHAnsi" w:cstheme="minorHAnsi"/>
          <w:sz w:val="22"/>
          <w:szCs w:val="22"/>
          <w:shd w:val="clear" w:color="auto" w:fill="FFFFFF"/>
        </w:rPr>
        <w:t>.</w:t>
      </w:r>
      <w:r w:rsidR="002F5738">
        <w:rPr>
          <w:rStyle w:val="FootnoteReference"/>
          <w:rFonts w:asciiTheme="minorHAnsi" w:hAnsiTheme="minorHAnsi" w:cstheme="minorHAnsi"/>
          <w:sz w:val="22"/>
          <w:szCs w:val="22"/>
          <w:shd w:val="clear" w:color="auto" w:fill="FFFFFF"/>
        </w:rPr>
        <w:footnoteReference w:id="3"/>
      </w:r>
      <w:r w:rsidRPr="001D15EE">
        <w:rPr>
          <w:rFonts w:asciiTheme="minorHAnsi" w:hAnsiTheme="minorHAnsi" w:cstheme="minorHAnsi"/>
          <w:sz w:val="22"/>
          <w:szCs w:val="22"/>
          <w:shd w:val="clear" w:color="auto" w:fill="FFFFFF"/>
        </w:rPr>
        <w:t xml:space="preserve"> The Council of State in its preliminary questions in </w:t>
      </w:r>
      <w:r w:rsidRPr="001D15EE">
        <w:rPr>
          <w:rFonts w:asciiTheme="minorHAnsi" w:hAnsiTheme="minorHAnsi" w:cstheme="minorHAnsi"/>
          <w:sz w:val="22"/>
          <w:szCs w:val="22"/>
        </w:rPr>
        <w:t xml:space="preserve">Case </w:t>
      </w:r>
      <w:r w:rsidRPr="001D15EE">
        <w:rPr>
          <w:rFonts w:asciiTheme="minorHAnsi" w:hAnsiTheme="minorHAnsi" w:cstheme="minorHAnsi"/>
          <w:sz w:val="22"/>
          <w:szCs w:val="22"/>
          <w:shd w:val="clear" w:color="auto" w:fill="FFFFFF"/>
        </w:rPr>
        <w:t xml:space="preserve">C-704/20 PPU asks the CJEU whether EU </w:t>
      </w:r>
      <w:r w:rsidR="00150CC7">
        <w:rPr>
          <w:rFonts w:asciiTheme="minorHAnsi" w:hAnsiTheme="minorHAnsi" w:cstheme="minorHAnsi"/>
          <w:sz w:val="22"/>
          <w:szCs w:val="22"/>
          <w:shd w:val="clear" w:color="auto" w:fill="FFFFFF"/>
        </w:rPr>
        <w:t xml:space="preserve">law </w:t>
      </w:r>
      <w:r w:rsidRPr="001D15EE">
        <w:rPr>
          <w:rFonts w:asciiTheme="minorHAnsi" w:hAnsiTheme="minorHAnsi" w:cstheme="minorHAnsi"/>
          <w:i/>
          <w:iCs/>
          <w:sz w:val="22"/>
          <w:szCs w:val="22"/>
          <w:shd w:val="clear" w:color="auto" w:fill="FFFFFF"/>
        </w:rPr>
        <w:t>requires</w:t>
      </w:r>
      <w:r w:rsidRPr="001D15EE">
        <w:rPr>
          <w:rFonts w:asciiTheme="minorHAnsi" w:hAnsiTheme="minorHAnsi" w:cstheme="minorHAnsi"/>
          <w:sz w:val="22"/>
          <w:szCs w:val="22"/>
          <w:shd w:val="clear" w:color="auto" w:fill="FFFFFF"/>
        </w:rPr>
        <w:t xml:space="preserve"> the Member States to </w:t>
      </w:r>
      <w:r w:rsidR="00B467E9">
        <w:rPr>
          <w:rFonts w:asciiTheme="minorHAnsi" w:hAnsiTheme="minorHAnsi" w:cstheme="minorHAnsi"/>
          <w:sz w:val="22"/>
          <w:szCs w:val="22"/>
          <w:shd w:val="clear" w:color="auto" w:fill="FFFFFF"/>
        </w:rPr>
        <w:t>apply</w:t>
      </w:r>
      <w:r w:rsidRPr="001D15EE">
        <w:rPr>
          <w:rFonts w:asciiTheme="minorHAnsi" w:hAnsiTheme="minorHAnsi" w:cstheme="minorHAnsi"/>
          <w:sz w:val="22"/>
          <w:szCs w:val="22"/>
          <w:shd w:val="clear" w:color="auto" w:fill="FFFFFF"/>
        </w:rPr>
        <w:t xml:space="preserve"> </w:t>
      </w:r>
      <w:r w:rsidR="00B467E9">
        <w:rPr>
          <w:rFonts w:asciiTheme="minorHAnsi" w:hAnsiTheme="minorHAnsi" w:cstheme="minorHAnsi"/>
          <w:sz w:val="22"/>
          <w:szCs w:val="22"/>
          <w:shd w:val="clear" w:color="auto" w:fill="FFFFFF"/>
        </w:rPr>
        <w:t xml:space="preserve">the third </w:t>
      </w:r>
      <w:r w:rsidR="00041272">
        <w:rPr>
          <w:rFonts w:asciiTheme="minorHAnsi" w:hAnsiTheme="minorHAnsi" w:cstheme="minorHAnsi"/>
          <w:sz w:val="22"/>
          <w:szCs w:val="22"/>
          <w:shd w:val="clear" w:color="auto" w:fill="FFFFFF"/>
        </w:rPr>
        <w:t>modality</w:t>
      </w:r>
      <w:r w:rsidRPr="001D15EE">
        <w:rPr>
          <w:rFonts w:asciiTheme="minorHAnsi" w:hAnsiTheme="minorHAnsi" w:cstheme="minorHAnsi"/>
          <w:sz w:val="22"/>
          <w:szCs w:val="22"/>
          <w:shd w:val="clear" w:color="auto" w:fill="FFFFFF"/>
        </w:rPr>
        <w:t>.</w:t>
      </w:r>
      <w:r w:rsidR="002F5738">
        <w:rPr>
          <w:rStyle w:val="FootnoteReference"/>
          <w:rFonts w:asciiTheme="minorHAnsi" w:hAnsiTheme="minorHAnsi" w:cstheme="minorHAnsi"/>
          <w:sz w:val="22"/>
          <w:szCs w:val="22"/>
          <w:shd w:val="clear" w:color="auto" w:fill="FFFFFF"/>
        </w:rPr>
        <w:footnoteReference w:id="4"/>
      </w:r>
      <w:r w:rsidRPr="001D15EE">
        <w:rPr>
          <w:rFonts w:asciiTheme="minorHAnsi" w:hAnsiTheme="minorHAnsi" w:cstheme="minorHAnsi"/>
          <w:sz w:val="22"/>
          <w:szCs w:val="22"/>
          <w:shd w:val="clear" w:color="auto" w:fill="FFFFFF"/>
        </w:rPr>
        <w:t xml:space="preserve"> This means that the CJEU will </w:t>
      </w:r>
      <w:r w:rsidR="00F50659" w:rsidRPr="001D15EE">
        <w:rPr>
          <w:rFonts w:asciiTheme="minorHAnsi" w:hAnsiTheme="minorHAnsi" w:cstheme="minorHAnsi"/>
          <w:sz w:val="22"/>
          <w:szCs w:val="22"/>
          <w:shd w:val="clear" w:color="auto" w:fill="FFFFFF"/>
        </w:rPr>
        <w:t>need</w:t>
      </w:r>
      <w:r w:rsidRPr="001D15EE">
        <w:rPr>
          <w:rFonts w:asciiTheme="minorHAnsi" w:hAnsiTheme="minorHAnsi" w:cstheme="minorHAnsi"/>
          <w:sz w:val="22"/>
          <w:szCs w:val="22"/>
          <w:shd w:val="clear" w:color="auto" w:fill="FFFFFF"/>
        </w:rPr>
        <w:t xml:space="preserve"> to assess which of the three </w:t>
      </w:r>
      <w:r w:rsidR="00041272">
        <w:rPr>
          <w:rFonts w:asciiTheme="minorHAnsi" w:hAnsiTheme="minorHAnsi" w:cstheme="minorHAnsi"/>
          <w:sz w:val="22"/>
          <w:szCs w:val="22"/>
          <w:shd w:val="clear" w:color="auto" w:fill="FFFFFF"/>
        </w:rPr>
        <w:t>modalities</w:t>
      </w:r>
      <w:r w:rsidRPr="001D15EE">
        <w:rPr>
          <w:rFonts w:asciiTheme="minorHAnsi" w:hAnsiTheme="minorHAnsi" w:cstheme="minorHAnsi"/>
          <w:sz w:val="22"/>
          <w:szCs w:val="22"/>
          <w:shd w:val="clear" w:color="auto" w:fill="FFFFFF"/>
        </w:rPr>
        <w:t xml:space="preserve"> </w:t>
      </w:r>
      <w:r w:rsidR="00F50659" w:rsidRPr="001D15EE">
        <w:rPr>
          <w:rFonts w:asciiTheme="minorHAnsi" w:hAnsiTheme="minorHAnsi" w:cstheme="minorHAnsi"/>
          <w:sz w:val="22"/>
          <w:szCs w:val="22"/>
          <w:shd w:val="clear" w:color="auto" w:fill="FFFFFF"/>
        </w:rPr>
        <w:t xml:space="preserve">described above </w:t>
      </w:r>
      <w:r w:rsidRPr="001D15EE">
        <w:rPr>
          <w:rFonts w:asciiTheme="minorHAnsi" w:hAnsiTheme="minorHAnsi" w:cstheme="minorHAnsi"/>
          <w:sz w:val="22"/>
          <w:szCs w:val="22"/>
          <w:shd w:val="clear" w:color="auto" w:fill="FFFFFF"/>
        </w:rPr>
        <w:t xml:space="preserve">are </w:t>
      </w:r>
      <w:r w:rsidR="00041272">
        <w:rPr>
          <w:rFonts w:asciiTheme="minorHAnsi" w:hAnsiTheme="minorHAnsi" w:cstheme="minorHAnsi"/>
          <w:sz w:val="22"/>
          <w:szCs w:val="22"/>
          <w:shd w:val="clear" w:color="auto" w:fill="FFFFFF"/>
        </w:rPr>
        <w:t>in conformity with</w:t>
      </w:r>
      <w:r w:rsidRPr="001D15EE">
        <w:rPr>
          <w:rFonts w:asciiTheme="minorHAnsi" w:hAnsiTheme="minorHAnsi" w:cstheme="minorHAnsi"/>
          <w:sz w:val="22"/>
          <w:szCs w:val="22"/>
          <w:shd w:val="clear" w:color="auto" w:fill="FFFFFF"/>
        </w:rPr>
        <w:t xml:space="preserve"> EU law. If all three </w:t>
      </w:r>
      <w:r w:rsidR="00041272">
        <w:rPr>
          <w:rFonts w:asciiTheme="minorHAnsi" w:hAnsiTheme="minorHAnsi" w:cstheme="minorHAnsi"/>
          <w:sz w:val="22"/>
          <w:szCs w:val="22"/>
          <w:shd w:val="clear" w:color="auto" w:fill="FFFFFF"/>
        </w:rPr>
        <w:t>modalities</w:t>
      </w:r>
      <w:r w:rsidRPr="001D15EE">
        <w:rPr>
          <w:rFonts w:asciiTheme="minorHAnsi" w:hAnsiTheme="minorHAnsi" w:cstheme="minorHAnsi"/>
          <w:sz w:val="22"/>
          <w:szCs w:val="22"/>
          <w:shd w:val="clear" w:color="auto" w:fill="FFFFFF"/>
        </w:rPr>
        <w:t xml:space="preserve"> </w:t>
      </w:r>
      <w:r w:rsidR="00041272">
        <w:rPr>
          <w:rFonts w:asciiTheme="minorHAnsi" w:hAnsiTheme="minorHAnsi" w:cstheme="minorHAnsi"/>
          <w:sz w:val="22"/>
          <w:szCs w:val="22"/>
          <w:shd w:val="clear" w:color="auto" w:fill="FFFFFF"/>
        </w:rPr>
        <w:t>are allowed</w:t>
      </w:r>
      <w:r w:rsidRPr="001D15EE">
        <w:rPr>
          <w:rFonts w:asciiTheme="minorHAnsi" w:hAnsiTheme="minorHAnsi" w:cstheme="minorHAnsi"/>
          <w:sz w:val="22"/>
          <w:szCs w:val="22"/>
          <w:shd w:val="clear" w:color="auto" w:fill="FFFFFF"/>
        </w:rPr>
        <w:t xml:space="preserve">, Dutch law is in conformity with EU law. If </w:t>
      </w:r>
      <w:r w:rsidR="00B467E9">
        <w:rPr>
          <w:rFonts w:asciiTheme="minorHAnsi" w:hAnsiTheme="minorHAnsi" w:cstheme="minorHAnsi"/>
          <w:sz w:val="22"/>
          <w:szCs w:val="22"/>
          <w:shd w:val="clear" w:color="auto" w:fill="FFFFFF"/>
        </w:rPr>
        <w:t xml:space="preserve">the second </w:t>
      </w:r>
      <w:r w:rsidRPr="001D15EE">
        <w:rPr>
          <w:rFonts w:asciiTheme="minorHAnsi" w:hAnsiTheme="minorHAnsi" w:cstheme="minorHAnsi"/>
          <w:sz w:val="22"/>
          <w:szCs w:val="22"/>
          <w:shd w:val="clear" w:color="auto" w:fill="FFFFFF"/>
        </w:rPr>
        <w:t xml:space="preserve">and </w:t>
      </w:r>
      <w:r w:rsidR="00B467E9">
        <w:rPr>
          <w:rFonts w:asciiTheme="minorHAnsi" w:hAnsiTheme="minorHAnsi" w:cstheme="minorHAnsi"/>
          <w:sz w:val="22"/>
          <w:szCs w:val="22"/>
          <w:shd w:val="clear" w:color="auto" w:fill="FFFFFF"/>
        </w:rPr>
        <w:t>third</w:t>
      </w:r>
      <w:r w:rsidRPr="001D15EE">
        <w:rPr>
          <w:rFonts w:asciiTheme="minorHAnsi" w:hAnsiTheme="minorHAnsi" w:cstheme="minorHAnsi"/>
          <w:sz w:val="22"/>
          <w:szCs w:val="22"/>
          <w:shd w:val="clear" w:color="auto" w:fill="FFFFFF"/>
        </w:rPr>
        <w:t xml:space="preserve">, or only </w:t>
      </w:r>
      <w:r w:rsidR="00B467E9">
        <w:rPr>
          <w:rFonts w:asciiTheme="minorHAnsi" w:hAnsiTheme="minorHAnsi" w:cstheme="minorHAnsi"/>
          <w:sz w:val="22"/>
          <w:szCs w:val="22"/>
          <w:shd w:val="clear" w:color="auto" w:fill="FFFFFF"/>
        </w:rPr>
        <w:t>the third</w:t>
      </w:r>
      <w:r w:rsidRPr="001D15EE">
        <w:rPr>
          <w:rFonts w:asciiTheme="minorHAnsi" w:hAnsiTheme="minorHAnsi" w:cstheme="minorHAnsi"/>
          <w:sz w:val="22"/>
          <w:szCs w:val="22"/>
          <w:shd w:val="clear" w:color="auto" w:fill="FFFFFF"/>
        </w:rPr>
        <w:t xml:space="preserve"> </w:t>
      </w:r>
      <w:r w:rsidR="00041272">
        <w:rPr>
          <w:rFonts w:asciiTheme="minorHAnsi" w:hAnsiTheme="minorHAnsi" w:cstheme="minorHAnsi"/>
          <w:sz w:val="22"/>
          <w:szCs w:val="22"/>
          <w:shd w:val="clear" w:color="auto" w:fill="FFFFFF"/>
        </w:rPr>
        <w:t xml:space="preserve">modality </w:t>
      </w:r>
      <w:r w:rsidRPr="001D15EE">
        <w:rPr>
          <w:rFonts w:asciiTheme="minorHAnsi" w:hAnsiTheme="minorHAnsi" w:cstheme="minorHAnsi"/>
          <w:sz w:val="22"/>
          <w:szCs w:val="22"/>
          <w:shd w:val="clear" w:color="auto" w:fill="FFFFFF"/>
        </w:rPr>
        <w:t xml:space="preserve">is allowed, Dutch law </w:t>
      </w:r>
      <w:r w:rsidR="00B467E9">
        <w:rPr>
          <w:rFonts w:asciiTheme="minorHAnsi" w:hAnsiTheme="minorHAnsi" w:cstheme="minorHAnsi"/>
          <w:sz w:val="22"/>
          <w:szCs w:val="22"/>
          <w:shd w:val="clear" w:color="auto" w:fill="FFFFFF"/>
        </w:rPr>
        <w:t>must</w:t>
      </w:r>
      <w:r w:rsidRPr="001D15EE">
        <w:rPr>
          <w:rFonts w:asciiTheme="minorHAnsi" w:hAnsiTheme="minorHAnsi" w:cstheme="minorHAnsi"/>
          <w:sz w:val="22"/>
          <w:szCs w:val="22"/>
          <w:shd w:val="clear" w:color="auto" w:fill="FFFFFF"/>
        </w:rPr>
        <w:t xml:space="preserve"> be changed.</w:t>
      </w:r>
      <w:r w:rsidR="00341110">
        <w:rPr>
          <w:rFonts w:asciiTheme="minorHAnsi" w:hAnsiTheme="minorHAnsi" w:cstheme="minorHAnsi"/>
          <w:sz w:val="22"/>
          <w:szCs w:val="22"/>
          <w:shd w:val="clear" w:color="auto" w:fill="FFFFFF"/>
        </w:rPr>
        <w:t xml:space="preserve"> </w:t>
      </w:r>
    </w:p>
    <w:p w14:paraId="20901FD3" w14:textId="00156301" w:rsidR="00F50659" w:rsidRPr="001D15EE" w:rsidRDefault="00341110" w:rsidP="007F72D6">
      <w:pPr>
        <w:spacing w:line="276" w:lineRule="auto"/>
        <w:jc w:val="both"/>
        <w:rPr>
          <w:rFonts w:asciiTheme="minorHAnsi" w:hAnsiTheme="minorHAnsi" w:cstheme="minorHAnsi"/>
          <w:sz w:val="22"/>
          <w:szCs w:val="22"/>
          <w:shd w:val="clear" w:color="auto" w:fill="FFFFFF"/>
        </w:rPr>
      </w:pPr>
      <w:r>
        <w:rPr>
          <w:rFonts w:asciiTheme="minorHAnsi" w:hAnsiTheme="minorHAnsi" w:cstheme="minorHAnsi"/>
          <w:sz w:val="22"/>
          <w:szCs w:val="22"/>
        </w:rPr>
        <w:t xml:space="preserve"> </w:t>
      </w:r>
      <w:bookmarkStart w:id="6" w:name="_Toc57327718"/>
      <w:bookmarkStart w:id="7" w:name="_Toc57341695"/>
    </w:p>
    <w:p w14:paraId="5E2C136C" w14:textId="7E5ADFFA" w:rsidR="003A466E" w:rsidRPr="001D15EE" w:rsidRDefault="00F50659" w:rsidP="007F72D6">
      <w:pPr>
        <w:pStyle w:val="Heading2"/>
        <w:spacing w:line="276" w:lineRule="auto"/>
        <w:rPr>
          <w:rFonts w:asciiTheme="minorHAnsi" w:hAnsiTheme="minorHAnsi" w:cstheme="minorHAnsi"/>
          <w:sz w:val="22"/>
          <w:szCs w:val="22"/>
        </w:rPr>
      </w:pPr>
      <w:bookmarkStart w:id="8" w:name="_Toc66828020"/>
      <w:r w:rsidRPr="001D15EE">
        <w:rPr>
          <w:rFonts w:asciiTheme="minorHAnsi" w:hAnsiTheme="minorHAnsi" w:cstheme="minorHAnsi"/>
          <w:sz w:val="22"/>
          <w:szCs w:val="22"/>
        </w:rPr>
        <w:t xml:space="preserve">1.2 </w:t>
      </w:r>
      <w:r w:rsidR="005105C4" w:rsidRPr="001D15EE">
        <w:rPr>
          <w:rFonts w:asciiTheme="minorHAnsi" w:hAnsiTheme="minorHAnsi" w:cstheme="minorHAnsi"/>
          <w:sz w:val="22"/>
          <w:szCs w:val="22"/>
        </w:rPr>
        <w:t>Content and s</w:t>
      </w:r>
      <w:r w:rsidR="003A466E" w:rsidRPr="001D15EE">
        <w:rPr>
          <w:rFonts w:asciiTheme="minorHAnsi" w:hAnsiTheme="minorHAnsi" w:cstheme="minorHAnsi"/>
          <w:sz w:val="22"/>
          <w:szCs w:val="22"/>
        </w:rPr>
        <w:t>tructure</w:t>
      </w:r>
      <w:r w:rsidR="0090319E" w:rsidRPr="001D15EE">
        <w:rPr>
          <w:rFonts w:asciiTheme="minorHAnsi" w:hAnsiTheme="minorHAnsi" w:cstheme="minorHAnsi"/>
          <w:sz w:val="22"/>
          <w:szCs w:val="22"/>
        </w:rPr>
        <w:t xml:space="preserve"> </w:t>
      </w:r>
      <w:r w:rsidR="005105C4" w:rsidRPr="001D15EE">
        <w:rPr>
          <w:rFonts w:asciiTheme="minorHAnsi" w:hAnsiTheme="minorHAnsi" w:cstheme="minorHAnsi"/>
          <w:sz w:val="22"/>
          <w:szCs w:val="22"/>
        </w:rPr>
        <w:t>of this expert opinion</w:t>
      </w:r>
      <w:bookmarkEnd w:id="6"/>
      <w:bookmarkEnd w:id="7"/>
      <w:bookmarkEnd w:id="8"/>
    </w:p>
    <w:p w14:paraId="1D2AEC04" w14:textId="7F4F68A3" w:rsidR="000279A3" w:rsidRPr="001D15EE" w:rsidRDefault="000279A3" w:rsidP="007F72D6">
      <w:pPr>
        <w:spacing w:line="276" w:lineRule="auto"/>
        <w:rPr>
          <w:rFonts w:asciiTheme="minorHAnsi" w:hAnsiTheme="minorHAnsi" w:cstheme="minorHAnsi"/>
        </w:rPr>
      </w:pPr>
    </w:p>
    <w:p w14:paraId="246E27EF" w14:textId="096A8EA8" w:rsidR="00F50659" w:rsidRPr="001D15EE" w:rsidRDefault="00F50659" w:rsidP="00150CC7">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This expert opinion has two aims. </w:t>
      </w:r>
      <w:r w:rsidR="00150CC7">
        <w:rPr>
          <w:rFonts w:asciiTheme="minorHAnsi" w:hAnsiTheme="minorHAnsi" w:cstheme="minorHAnsi"/>
          <w:sz w:val="22"/>
          <w:szCs w:val="22"/>
        </w:rPr>
        <w:t>Chapter</w:t>
      </w:r>
      <w:r w:rsidRPr="001D15EE">
        <w:rPr>
          <w:rFonts w:asciiTheme="minorHAnsi" w:hAnsiTheme="minorHAnsi" w:cstheme="minorHAnsi"/>
          <w:sz w:val="22"/>
          <w:szCs w:val="22"/>
        </w:rPr>
        <w:t xml:space="preserve"> 2 will explain in more detail how the prohibition to review detention measures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as it is applied in the Netherlands, plays out in practice. It will demonstrate that</w:t>
      </w:r>
      <w:r w:rsidR="00805D6A" w:rsidRPr="001D15EE">
        <w:rPr>
          <w:rFonts w:asciiTheme="minorHAnsi" w:hAnsiTheme="minorHAnsi" w:cstheme="minorHAnsi"/>
          <w:sz w:val="22"/>
          <w:szCs w:val="22"/>
        </w:rPr>
        <w:t xml:space="preserve"> </w:t>
      </w:r>
      <w:r w:rsidR="00AC1118" w:rsidRPr="001D15EE">
        <w:rPr>
          <w:rFonts w:asciiTheme="minorHAnsi" w:hAnsiTheme="minorHAnsi" w:cstheme="minorHAnsi"/>
          <w:sz w:val="22"/>
          <w:szCs w:val="22"/>
        </w:rPr>
        <w:t xml:space="preserve">national procedural law limits the scope of review in detention cases, to such an extent that </w:t>
      </w:r>
      <w:r w:rsidR="00805D6A" w:rsidRPr="001D15EE">
        <w:rPr>
          <w:rFonts w:asciiTheme="minorHAnsi" w:hAnsiTheme="minorHAnsi" w:cstheme="minorHAnsi"/>
          <w:sz w:val="22"/>
          <w:szCs w:val="22"/>
        </w:rPr>
        <w:t xml:space="preserve">District Courts </w:t>
      </w:r>
      <w:r w:rsidR="00AC1118" w:rsidRPr="001D15EE">
        <w:rPr>
          <w:rFonts w:asciiTheme="minorHAnsi" w:hAnsiTheme="minorHAnsi" w:cstheme="minorHAnsi"/>
          <w:sz w:val="22"/>
          <w:szCs w:val="22"/>
        </w:rPr>
        <w:t xml:space="preserve">may not be able to quash a detention measure, even if they are aware that it is unlawful. </w:t>
      </w:r>
    </w:p>
    <w:p w14:paraId="27763101" w14:textId="16C0DABC" w:rsidR="000279A3" w:rsidRDefault="00805D6A"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ab/>
      </w:r>
      <w:r w:rsidR="00150CC7">
        <w:rPr>
          <w:rFonts w:asciiTheme="minorHAnsi" w:hAnsiTheme="minorHAnsi" w:cstheme="minorHAnsi"/>
          <w:sz w:val="22"/>
          <w:szCs w:val="22"/>
        </w:rPr>
        <w:t>Chapter</w:t>
      </w:r>
      <w:r w:rsidRPr="00150CC7">
        <w:rPr>
          <w:rFonts w:asciiTheme="minorHAnsi" w:hAnsiTheme="minorHAnsi" w:cstheme="minorHAnsi"/>
          <w:sz w:val="22"/>
          <w:szCs w:val="22"/>
        </w:rPr>
        <w:t xml:space="preserve"> 3 of the expert opinion will discuss w</w:t>
      </w:r>
      <w:r w:rsidR="00150CC7" w:rsidRPr="00150CC7">
        <w:rPr>
          <w:rFonts w:asciiTheme="minorHAnsi" w:hAnsiTheme="minorHAnsi" w:cstheme="minorHAnsi"/>
          <w:sz w:val="22"/>
          <w:szCs w:val="22"/>
        </w:rPr>
        <w:t>hether</w:t>
      </w:r>
      <w:r w:rsidRPr="00150CC7">
        <w:rPr>
          <w:rFonts w:asciiTheme="minorHAnsi" w:hAnsiTheme="minorHAnsi" w:cstheme="minorHAnsi"/>
          <w:sz w:val="22"/>
          <w:szCs w:val="22"/>
        </w:rPr>
        <w:t xml:space="preserve"> detention judges in </w:t>
      </w:r>
      <w:r w:rsidR="00150CC7" w:rsidRPr="00150CC7">
        <w:rPr>
          <w:rFonts w:asciiTheme="minorHAnsi" w:hAnsiTheme="minorHAnsi" w:cstheme="minorHAnsi"/>
          <w:sz w:val="22"/>
          <w:szCs w:val="22"/>
        </w:rPr>
        <w:t xml:space="preserve">Austria, Belgium, France, Germany and the United Kingdom are able or required to review a detention measure </w:t>
      </w:r>
      <w:r w:rsidR="00150CC7" w:rsidRPr="00150CC7">
        <w:rPr>
          <w:rFonts w:asciiTheme="minorHAnsi" w:hAnsiTheme="minorHAnsi" w:cstheme="minorHAnsi"/>
          <w:i/>
          <w:iCs/>
          <w:sz w:val="22"/>
          <w:szCs w:val="22"/>
        </w:rPr>
        <w:t>ex officio</w:t>
      </w:r>
      <w:r w:rsidR="00150CC7" w:rsidRPr="00150CC7">
        <w:rPr>
          <w:rFonts w:asciiTheme="minorHAnsi" w:hAnsiTheme="minorHAnsi" w:cstheme="minorHAnsi"/>
          <w:sz w:val="22"/>
          <w:szCs w:val="22"/>
        </w:rPr>
        <w:t>.</w:t>
      </w:r>
      <w:r w:rsidR="00150CC7">
        <w:rPr>
          <w:rFonts w:asciiTheme="minorHAnsi" w:hAnsiTheme="minorHAnsi" w:cstheme="minorHAnsi"/>
          <w:sz w:val="22"/>
          <w:szCs w:val="22"/>
        </w:rPr>
        <w:t xml:space="preserve"> This Chapter shows that divergent systems exist within Europe. In Germany judges order and prolong detention measures themselves, subjecting the lawfulness of the detention to a full and ex officio examination. However, in Belgium, France and the United Kingdom, judges seem only to be competent to review the detention decision of the administrative authority that imposed the detention measure on the basis of the submissions of the TCN. This underline</w:t>
      </w:r>
      <w:r w:rsidR="00790B20">
        <w:rPr>
          <w:rFonts w:asciiTheme="minorHAnsi" w:hAnsiTheme="minorHAnsi" w:cstheme="minorHAnsi"/>
          <w:sz w:val="22"/>
          <w:szCs w:val="22"/>
        </w:rPr>
        <w:t>s</w:t>
      </w:r>
      <w:r w:rsidR="00150CC7">
        <w:rPr>
          <w:rFonts w:asciiTheme="minorHAnsi" w:hAnsiTheme="minorHAnsi" w:cstheme="minorHAnsi"/>
          <w:sz w:val="22"/>
          <w:szCs w:val="22"/>
        </w:rPr>
        <w:t xml:space="preserve"> the importance of the preliminary questions to be answered by the CJEU and the need for a ruling on the question whether EU law </w:t>
      </w:r>
      <w:r w:rsidR="00790B20">
        <w:rPr>
          <w:rFonts w:asciiTheme="minorHAnsi" w:hAnsiTheme="minorHAnsi" w:cstheme="minorHAnsi"/>
          <w:sz w:val="22"/>
          <w:szCs w:val="22"/>
        </w:rPr>
        <w:t>permits</w:t>
      </w:r>
      <w:r w:rsidR="00150CC7">
        <w:rPr>
          <w:rFonts w:asciiTheme="minorHAnsi" w:hAnsiTheme="minorHAnsi" w:cstheme="minorHAnsi"/>
          <w:sz w:val="22"/>
          <w:szCs w:val="22"/>
        </w:rPr>
        <w:t xml:space="preserve"> Member States to </w:t>
      </w:r>
      <w:r w:rsidR="00790B20">
        <w:rPr>
          <w:rFonts w:asciiTheme="minorHAnsi" w:hAnsiTheme="minorHAnsi" w:cstheme="minorHAnsi"/>
          <w:sz w:val="22"/>
          <w:szCs w:val="22"/>
        </w:rPr>
        <w:t>prohibit</w:t>
      </w:r>
      <w:r w:rsidR="00150CC7">
        <w:rPr>
          <w:rFonts w:asciiTheme="minorHAnsi" w:hAnsiTheme="minorHAnsi" w:cstheme="minorHAnsi"/>
          <w:sz w:val="22"/>
          <w:szCs w:val="22"/>
        </w:rPr>
        <w:t xml:space="preserve"> </w:t>
      </w:r>
      <w:r w:rsidR="00790B20">
        <w:rPr>
          <w:rFonts w:asciiTheme="minorHAnsi" w:hAnsiTheme="minorHAnsi" w:cstheme="minorHAnsi"/>
          <w:sz w:val="22"/>
          <w:szCs w:val="22"/>
        </w:rPr>
        <w:t xml:space="preserve">an </w:t>
      </w:r>
      <w:r w:rsidR="00150CC7" w:rsidRPr="00150CC7">
        <w:rPr>
          <w:rFonts w:asciiTheme="minorHAnsi" w:hAnsiTheme="minorHAnsi" w:cstheme="minorHAnsi"/>
          <w:i/>
          <w:iCs/>
          <w:sz w:val="22"/>
          <w:szCs w:val="22"/>
        </w:rPr>
        <w:t>ex officio</w:t>
      </w:r>
      <w:r w:rsidR="00150CC7">
        <w:rPr>
          <w:rFonts w:asciiTheme="minorHAnsi" w:hAnsiTheme="minorHAnsi" w:cstheme="minorHAnsi"/>
          <w:sz w:val="22"/>
          <w:szCs w:val="22"/>
        </w:rPr>
        <w:t xml:space="preserve"> </w:t>
      </w:r>
      <w:r w:rsidR="00790B20">
        <w:rPr>
          <w:rFonts w:asciiTheme="minorHAnsi" w:hAnsiTheme="minorHAnsi" w:cstheme="minorHAnsi"/>
          <w:sz w:val="22"/>
          <w:szCs w:val="22"/>
        </w:rPr>
        <w:t xml:space="preserve">review </w:t>
      </w:r>
      <w:r w:rsidR="00150CC7">
        <w:rPr>
          <w:rFonts w:asciiTheme="minorHAnsi" w:hAnsiTheme="minorHAnsi" w:cstheme="minorHAnsi"/>
          <w:sz w:val="22"/>
          <w:szCs w:val="22"/>
        </w:rPr>
        <w:t>in detention cases</w:t>
      </w:r>
      <w:r w:rsidR="00790B20">
        <w:rPr>
          <w:rFonts w:asciiTheme="minorHAnsi" w:hAnsiTheme="minorHAnsi" w:cstheme="minorHAnsi"/>
          <w:sz w:val="22"/>
          <w:szCs w:val="22"/>
        </w:rPr>
        <w:t xml:space="preserve"> or conversely requires them to conduct such a review</w:t>
      </w:r>
      <w:r w:rsidR="00150CC7">
        <w:rPr>
          <w:rFonts w:asciiTheme="minorHAnsi" w:hAnsiTheme="minorHAnsi" w:cstheme="minorHAnsi"/>
          <w:sz w:val="22"/>
          <w:szCs w:val="22"/>
        </w:rPr>
        <w:t>.</w:t>
      </w:r>
      <w:r w:rsidR="00341110">
        <w:rPr>
          <w:rFonts w:asciiTheme="minorHAnsi" w:hAnsiTheme="minorHAnsi" w:cstheme="minorHAnsi"/>
          <w:sz w:val="22"/>
          <w:szCs w:val="22"/>
        </w:rPr>
        <w:t xml:space="preserve"> </w:t>
      </w:r>
      <w:r w:rsidR="00150CC7">
        <w:rPr>
          <w:rFonts w:asciiTheme="minorHAnsi" w:hAnsiTheme="minorHAnsi" w:cstheme="minorHAnsi"/>
          <w:sz w:val="22"/>
          <w:szCs w:val="22"/>
        </w:rPr>
        <w:t>Chapter 4 of this expert opinion draws a conclusion.</w:t>
      </w:r>
    </w:p>
    <w:p w14:paraId="62A1B372" w14:textId="77777777" w:rsidR="00150CC7" w:rsidRPr="001D15EE" w:rsidRDefault="00150CC7" w:rsidP="007F72D6">
      <w:pPr>
        <w:spacing w:line="276" w:lineRule="auto"/>
        <w:jc w:val="both"/>
        <w:rPr>
          <w:rFonts w:asciiTheme="minorHAnsi" w:hAnsiTheme="minorHAnsi" w:cstheme="minorHAnsi"/>
          <w:sz w:val="22"/>
          <w:szCs w:val="22"/>
        </w:rPr>
      </w:pPr>
    </w:p>
    <w:p w14:paraId="0C1AB821" w14:textId="112697BC" w:rsidR="000279A3" w:rsidRPr="001D15EE" w:rsidRDefault="000279A3" w:rsidP="007F72D6">
      <w:pPr>
        <w:spacing w:line="276" w:lineRule="auto"/>
        <w:jc w:val="both"/>
        <w:rPr>
          <w:rFonts w:asciiTheme="minorHAnsi" w:hAnsiTheme="minorHAnsi" w:cstheme="minorHAnsi"/>
        </w:rPr>
      </w:pPr>
      <w:bookmarkStart w:id="9" w:name="_Toc57327719"/>
      <w:bookmarkStart w:id="10" w:name="_Toc57341696"/>
      <w:bookmarkStart w:id="11" w:name="_Toc66828021"/>
      <w:r w:rsidRPr="001D15EE">
        <w:rPr>
          <w:rStyle w:val="Heading2Char"/>
          <w:rFonts w:asciiTheme="minorHAnsi" w:hAnsiTheme="minorHAnsi" w:cstheme="minorHAnsi"/>
          <w:sz w:val="22"/>
          <w:szCs w:val="22"/>
        </w:rPr>
        <w:t>1.</w:t>
      </w:r>
      <w:r w:rsidR="00150CC7">
        <w:rPr>
          <w:rStyle w:val="Heading2Char"/>
          <w:rFonts w:asciiTheme="minorHAnsi" w:hAnsiTheme="minorHAnsi" w:cstheme="minorHAnsi"/>
          <w:sz w:val="22"/>
          <w:szCs w:val="22"/>
        </w:rPr>
        <w:t>3</w:t>
      </w:r>
      <w:r w:rsidR="00F50659" w:rsidRPr="001D15EE">
        <w:rPr>
          <w:rStyle w:val="Heading2Char"/>
          <w:rFonts w:asciiTheme="minorHAnsi" w:hAnsiTheme="minorHAnsi" w:cstheme="minorHAnsi"/>
          <w:sz w:val="22"/>
          <w:szCs w:val="22"/>
        </w:rPr>
        <w:t xml:space="preserve"> </w:t>
      </w:r>
      <w:r w:rsidR="005558CF" w:rsidRPr="001D15EE">
        <w:rPr>
          <w:rStyle w:val="Heading2Char"/>
          <w:rFonts w:asciiTheme="minorHAnsi" w:hAnsiTheme="minorHAnsi" w:cstheme="minorHAnsi"/>
          <w:sz w:val="22"/>
          <w:szCs w:val="22"/>
        </w:rPr>
        <w:t>Methodology</w:t>
      </w:r>
      <w:bookmarkEnd w:id="9"/>
      <w:bookmarkEnd w:id="10"/>
      <w:bookmarkEnd w:id="11"/>
      <w:r w:rsidR="005558CF" w:rsidRPr="001D15EE">
        <w:rPr>
          <w:rStyle w:val="Heading2Char"/>
          <w:rFonts w:asciiTheme="minorHAnsi" w:hAnsiTheme="minorHAnsi" w:cstheme="minorHAnsi"/>
          <w:sz w:val="22"/>
          <w:szCs w:val="22"/>
        </w:rPr>
        <w:t xml:space="preserve"> </w:t>
      </w:r>
    </w:p>
    <w:p w14:paraId="2A2C95AC" w14:textId="1097B60E" w:rsidR="00171088" w:rsidRDefault="00171088" w:rsidP="007F72D6">
      <w:pPr>
        <w:spacing w:line="276" w:lineRule="auto"/>
        <w:jc w:val="both"/>
        <w:rPr>
          <w:rFonts w:asciiTheme="minorHAnsi" w:hAnsiTheme="minorHAnsi" w:cstheme="minorHAnsi"/>
          <w:sz w:val="22"/>
          <w:szCs w:val="22"/>
        </w:rPr>
      </w:pPr>
    </w:p>
    <w:p w14:paraId="6CFA0A25" w14:textId="6FA3FFC6" w:rsidR="00D0607E" w:rsidRDefault="00D0607E" w:rsidP="007F72D6">
      <w:pPr>
        <w:spacing w:line="276" w:lineRule="auto"/>
        <w:jc w:val="both"/>
        <w:rPr>
          <w:rFonts w:asciiTheme="minorHAnsi" w:hAnsiTheme="minorHAnsi" w:cstheme="minorHAnsi"/>
          <w:sz w:val="22"/>
          <w:szCs w:val="22"/>
        </w:rPr>
      </w:pPr>
      <w:r>
        <w:rPr>
          <w:rFonts w:asciiTheme="minorHAnsi" w:hAnsiTheme="minorHAnsi" w:cstheme="minorHAnsi"/>
          <w:sz w:val="22"/>
          <w:szCs w:val="22"/>
        </w:rPr>
        <w:t>This expert opinion is based on research of legislation, case law and literature and several interviews with experts. For section 2.1 we have searched the databases rechtspraak.nl and raadvanstate.nl for judgments concerning ex officio judicial review. We have also asked judges in the Netherlands, to provide examples of judgments in which District Courts explicitly applied an ex officio judicial review. We have chosen five different examples of judgments, issued in different years, in which the District Court felt compelled to carry out an ex officio judicial review even though they were not allowed to do so. The purpose of these examples is to explain the impact of the national prohibition to ex officio review, not to give a complete overview of the relevant case law.</w:t>
      </w:r>
      <w:r w:rsidR="00341110">
        <w:rPr>
          <w:rFonts w:asciiTheme="minorHAnsi" w:hAnsiTheme="minorHAnsi" w:cstheme="minorHAnsi"/>
          <w:sz w:val="22"/>
          <w:szCs w:val="22"/>
        </w:rPr>
        <w:t xml:space="preserve"> </w:t>
      </w:r>
    </w:p>
    <w:p w14:paraId="60C05866" w14:textId="34968D8A" w:rsidR="00D0607E" w:rsidRDefault="00D0607E" w:rsidP="007F72D6">
      <w:pPr>
        <w:spacing w:line="276" w:lineRule="auto"/>
        <w:jc w:val="both"/>
        <w:rPr>
          <w:rFonts w:asciiTheme="minorHAnsi" w:hAnsiTheme="minorHAnsi" w:cstheme="minorHAnsi"/>
          <w:sz w:val="22"/>
          <w:szCs w:val="22"/>
        </w:rPr>
      </w:pPr>
      <w:r>
        <w:rPr>
          <w:rFonts w:asciiTheme="minorHAnsi" w:hAnsiTheme="minorHAnsi" w:cstheme="minorHAnsi"/>
          <w:sz w:val="22"/>
          <w:szCs w:val="22"/>
        </w:rPr>
        <w:tab/>
        <w:t xml:space="preserve"> Section 3 contains the results of our (limited) research into the practice of different European States: </w:t>
      </w:r>
      <w:r w:rsidRPr="00150CC7">
        <w:rPr>
          <w:rFonts w:asciiTheme="minorHAnsi" w:hAnsiTheme="minorHAnsi" w:cstheme="minorHAnsi"/>
          <w:sz w:val="22"/>
          <w:szCs w:val="22"/>
        </w:rPr>
        <w:t>Austria, Belgium, France, Germany and the United Kingdom</w:t>
      </w:r>
      <w:r>
        <w:rPr>
          <w:rFonts w:asciiTheme="minorHAnsi" w:hAnsiTheme="minorHAnsi" w:cstheme="minorHAnsi"/>
          <w:sz w:val="22"/>
          <w:szCs w:val="22"/>
        </w:rPr>
        <w:t xml:space="preserve">. These countries were chosen on the basis of the language abilities of the researchers. On the basis of legislation, case law and literature it is often difficult to establish what the exact competences are of a national detention judge. For this </w:t>
      </w:r>
      <w:r w:rsidR="00CF354A">
        <w:rPr>
          <w:rFonts w:asciiTheme="minorHAnsi" w:hAnsiTheme="minorHAnsi" w:cstheme="minorHAnsi"/>
          <w:sz w:val="22"/>
          <w:szCs w:val="22"/>
        </w:rPr>
        <w:t>reason,</w:t>
      </w:r>
      <w:r>
        <w:rPr>
          <w:rFonts w:asciiTheme="minorHAnsi" w:hAnsiTheme="minorHAnsi" w:cstheme="minorHAnsi"/>
          <w:sz w:val="22"/>
          <w:szCs w:val="22"/>
        </w:rPr>
        <w:t xml:space="preserve"> we have contacted several national judges and lawyers, who have provided us with oral and written information. The following persons were interviewed:</w:t>
      </w:r>
    </w:p>
    <w:p w14:paraId="007C2BC3" w14:textId="77777777" w:rsidR="0055174A" w:rsidRDefault="0055174A" w:rsidP="007F72D6">
      <w:pPr>
        <w:spacing w:line="276" w:lineRule="auto"/>
        <w:jc w:val="both"/>
        <w:rPr>
          <w:rFonts w:asciiTheme="minorHAnsi" w:hAnsiTheme="minorHAnsi" w:cstheme="minorHAnsi"/>
          <w:sz w:val="22"/>
          <w:szCs w:val="22"/>
        </w:rPr>
      </w:pPr>
    </w:p>
    <w:p w14:paraId="42CF4516" w14:textId="5F739025" w:rsidR="00D0607E" w:rsidRPr="0023459F" w:rsidRDefault="00D0607E" w:rsidP="0055174A">
      <w:pPr>
        <w:pStyle w:val="ListParagraph"/>
        <w:numPr>
          <w:ilvl w:val="0"/>
          <w:numId w:val="15"/>
        </w:numPr>
        <w:spacing w:line="276" w:lineRule="auto"/>
        <w:jc w:val="both"/>
        <w:rPr>
          <w:rFonts w:asciiTheme="minorHAnsi" w:hAnsiTheme="minorHAnsi" w:cstheme="minorHAnsi"/>
          <w:sz w:val="22"/>
          <w:szCs w:val="22"/>
        </w:rPr>
      </w:pPr>
      <w:r w:rsidRPr="0023459F">
        <w:rPr>
          <w:rFonts w:asciiTheme="minorHAnsi" w:hAnsiTheme="minorHAnsi" w:cstheme="minorHAnsi"/>
          <w:sz w:val="22"/>
          <w:szCs w:val="22"/>
          <w:lang w:val="en-US"/>
        </w:rPr>
        <w:t xml:space="preserve">Dr. Nicolai Kaniess, </w:t>
      </w:r>
      <w:r w:rsidRPr="0023459F">
        <w:rPr>
          <w:rFonts w:ascii="Calibri" w:hAnsi="Calibri" w:cs="Calibri"/>
          <w:color w:val="000000"/>
          <w:sz w:val="22"/>
          <w:szCs w:val="22"/>
          <w:shd w:val="clear" w:color="auto" w:fill="FFFFFF"/>
        </w:rPr>
        <w:t xml:space="preserve">Civil Judge at the </w:t>
      </w:r>
      <w:r w:rsidRPr="0023459F">
        <w:rPr>
          <w:rFonts w:ascii="Calibri" w:hAnsi="Calibri" w:cs="Calibri"/>
          <w:i/>
          <w:iCs/>
          <w:color w:val="000000"/>
          <w:sz w:val="22"/>
          <w:szCs w:val="22"/>
          <w:shd w:val="clear" w:color="auto" w:fill="FFFFFF"/>
        </w:rPr>
        <w:t>Amtsgericht Tiergarten</w:t>
      </w:r>
      <w:r w:rsidR="0055174A" w:rsidRPr="0023459F">
        <w:rPr>
          <w:rFonts w:asciiTheme="minorHAnsi" w:hAnsiTheme="minorHAnsi" w:cstheme="minorHAnsi"/>
          <w:sz w:val="22"/>
          <w:szCs w:val="22"/>
          <w:lang w:val="en-US"/>
        </w:rPr>
        <w:t xml:space="preserve"> (Germany)</w:t>
      </w:r>
    </w:p>
    <w:p w14:paraId="184B8275" w14:textId="77777777" w:rsidR="0023459F" w:rsidRPr="0023459F" w:rsidRDefault="0055174A" w:rsidP="0023459F">
      <w:pPr>
        <w:pStyle w:val="ListParagraph"/>
        <w:numPr>
          <w:ilvl w:val="0"/>
          <w:numId w:val="15"/>
        </w:numPr>
        <w:spacing w:line="276" w:lineRule="auto"/>
        <w:jc w:val="both"/>
        <w:rPr>
          <w:rFonts w:asciiTheme="minorHAnsi" w:hAnsiTheme="minorHAnsi" w:cstheme="minorHAnsi"/>
          <w:sz w:val="22"/>
          <w:szCs w:val="22"/>
        </w:rPr>
      </w:pPr>
      <w:r w:rsidRPr="0023459F">
        <w:rPr>
          <w:rFonts w:asciiTheme="minorHAnsi" w:hAnsiTheme="minorHAnsi" w:cstheme="minorHAnsi"/>
          <w:sz w:val="22"/>
          <w:szCs w:val="22"/>
          <w:lang w:val="en-US"/>
        </w:rPr>
        <w:lastRenderedPageBreak/>
        <w:t>Judith Gleeson, senior judge at the UK Upper Tribunal, Immigration and Asylum Chamber (United Kingdom)</w:t>
      </w:r>
    </w:p>
    <w:p w14:paraId="6638BE90" w14:textId="3D2E029B" w:rsidR="0055174A" w:rsidRPr="00CF354A" w:rsidRDefault="00663149" w:rsidP="0023459F">
      <w:pPr>
        <w:pStyle w:val="ListParagraph"/>
        <w:numPr>
          <w:ilvl w:val="0"/>
          <w:numId w:val="15"/>
        </w:numPr>
        <w:spacing w:line="276" w:lineRule="auto"/>
        <w:jc w:val="both"/>
        <w:rPr>
          <w:rFonts w:asciiTheme="minorHAnsi" w:hAnsiTheme="minorHAnsi" w:cstheme="minorHAnsi"/>
          <w:sz w:val="22"/>
          <w:szCs w:val="22"/>
        </w:rPr>
      </w:pPr>
      <w:r w:rsidRPr="00CF354A">
        <w:rPr>
          <w:rFonts w:asciiTheme="minorHAnsi" w:hAnsiTheme="minorHAnsi" w:cstheme="minorHAnsi"/>
          <w:sz w:val="22"/>
          <w:szCs w:val="22"/>
        </w:rPr>
        <w:t>Jana Zunker</w:t>
      </w:r>
      <w:r w:rsidR="0023459F" w:rsidRPr="00CF354A">
        <w:rPr>
          <w:rFonts w:asciiTheme="minorHAnsi" w:hAnsiTheme="minorHAnsi" w:cstheme="minorHAnsi"/>
          <w:sz w:val="22"/>
          <w:szCs w:val="22"/>
        </w:rPr>
        <w:t xml:space="preserve">, </w:t>
      </w:r>
      <w:r w:rsidRPr="00CF354A">
        <w:rPr>
          <w:rFonts w:asciiTheme="minorHAnsi" w:hAnsiTheme="minorHAnsi" w:cstheme="minorHAnsi"/>
          <w:sz w:val="22"/>
          <w:szCs w:val="22"/>
        </w:rPr>
        <w:t>MA Legal advisor, Independent Advice Vienna at Diakonie Flü</w:t>
      </w:r>
      <w:r w:rsidR="0023459F" w:rsidRPr="00CF354A">
        <w:rPr>
          <w:rFonts w:asciiTheme="minorHAnsi" w:hAnsiTheme="minorHAnsi" w:cstheme="minorHAnsi"/>
          <w:sz w:val="22"/>
          <w:szCs w:val="22"/>
        </w:rPr>
        <w:t xml:space="preserve">tlingsdienst gem. GmbH and </w:t>
      </w:r>
      <w:r w:rsidR="00B01858" w:rsidRPr="00CF354A">
        <w:rPr>
          <w:rFonts w:asciiTheme="minorHAnsi" w:hAnsiTheme="minorHAnsi" w:cstheme="minorBidi"/>
          <w:sz w:val="22"/>
          <w:szCs w:val="22"/>
        </w:rPr>
        <w:t>Ruxandra Staicu</w:t>
      </w:r>
      <w:r w:rsidR="0023459F" w:rsidRPr="00CF354A">
        <w:rPr>
          <w:rFonts w:asciiTheme="minorHAnsi" w:hAnsiTheme="minorHAnsi" w:cstheme="minorHAnsi"/>
          <w:sz w:val="22"/>
          <w:szCs w:val="22"/>
        </w:rPr>
        <w:t xml:space="preserve">, legal advisor at Deserteurs- und Flüchtelingsberatung </w:t>
      </w:r>
      <w:r w:rsidR="0055174A" w:rsidRPr="00CF354A">
        <w:rPr>
          <w:rFonts w:asciiTheme="minorHAnsi" w:hAnsiTheme="minorHAnsi" w:cstheme="minorHAnsi"/>
          <w:sz w:val="22"/>
          <w:szCs w:val="22"/>
        </w:rPr>
        <w:t>(Austria)</w:t>
      </w:r>
      <w:r w:rsidR="0023459F" w:rsidRPr="00CF354A">
        <w:rPr>
          <w:rFonts w:asciiTheme="minorHAnsi" w:hAnsiTheme="minorHAnsi" w:cstheme="minorHAnsi"/>
          <w:sz w:val="22"/>
          <w:szCs w:val="22"/>
        </w:rPr>
        <w:t>.</w:t>
      </w:r>
    </w:p>
    <w:p w14:paraId="4A89E2CF" w14:textId="77777777" w:rsidR="00D0607E" w:rsidRPr="00CF354A" w:rsidRDefault="00D0607E" w:rsidP="007F72D6">
      <w:pPr>
        <w:spacing w:line="276" w:lineRule="auto"/>
        <w:jc w:val="both"/>
        <w:rPr>
          <w:rFonts w:asciiTheme="minorHAnsi" w:hAnsiTheme="minorHAnsi" w:cstheme="minorHAnsi"/>
          <w:sz w:val="22"/>
          <w:szCs w:val="22"/>
        </w:rPr>
      </w:pPr>
    </w:p>
    <w:p w14:paraId="272FF7C0" w14:textId="5F15147E" w:rsidR="00150CC7" w:rsidRPr="001D15EE" w:rsidRDefault="00D0607E" w:rsidP="007F72D6">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Given the </w:t>
      </w:r>
      <w:r w:rsidR="0055174A">
        <w:rPr>
          <w:rFonts w:asciiTheme="minorHAnsi" w:hAnsiTheme="minorHAnsi" w:cstheme="minorHAnsi"/>
          <w:sz w:val="22"/>
          <w:szCs w:val="22"/>
        </w:rPr>
        <w:t xml:space="preserve">very limited time-frame, we did not find judges or lawyers in Belgium and France, who could provide us with more details and check the information we have found. For this reason, we are </w:t>
      </w:r>
      <w:r w:rsidR="0023459F">
        <w:rPr>
          <w:rFonts w:asciiTheme="minorHAnsi" w:hAnsiTheme="minorHAnsi" w:cstheme="minorHAnsi"/>
          <w:sz w:val="22"/>
          <w:szCs w:val="22"/>
        </w:rPr>
        <w:t xml:space="preserve">more cautious in the </w:t>
      </w:r>
      <w:r w:rsidR="0055174A">
        <w:rPr>
          <w:rFonts w:asciiTheme="minorHAnsi" w:hAnsiTheme="minorHAnsi" w:cstheme="minorHAnsi"/>
          <w:sz w:val="22"/>
          <w:szCs w:val="22"/>
        </w:rPr>
        <w:t xml:space="preserve">conclusions </w:t>
      </w:r>
      <w:r w:rsidR="0023459F">
        <w:rPr>
          <w:rFonts w:asciiTheme="minorHAnsi" w:hAnsiTheme="minorHAnsi" w:cstheme="minorHAnsi"/>
          <w:sz w:val="22"/>
          <w:szCs w:val="22"/>
        </w:rPr>
        <w:t xml:space="preserve">we draw </w:t>
      </w:r>
      <w:r w:rsidR="0055174A">
        <w:rPr>
          <w:rFonts w:asciiTheme="minorHAnsi" w:hAnsiTheme="minorHAnsi" w:cstheme="minorHAnsi"/>
          <w:sz w:val="22"/>
          <w:szCs w:val="22"/>
        </w:rPr>
        <w:t>with regard to these countries.</w:t>
      </w:r>
      <w:r w:rsidR="00341110">
        <w:rPr>
          <w:rFonts w:asciiTheme="minorHAnsi" w:hAnsiTheme="minorHAnsi" w:cstheme="minorHAnsi"/>
          <w:sz w:val="22"/>
          <w:szCs w:val="22"/>
        </w:rPr>
        <w:t xml:space="preserve"> </w:t>
      </w:r>
    </w:p>
    <w:p w14:paraId="0E9DB93A" w14:textId="77777777" w:rsidR="00596B73" w:rsidRPr="001D15EE" w:rsidRDefault="00596B73" w:rsidP="007F72D6">
      <w:pPr>
        <w:spacing w:line="276" w:lineRule="auto"/>
        <w:rPr>
          <w:rFonts w:asciiTheme="minorHAnsi" w:hAnsiTheme="minorHAnsi" w:cstheme="minorHAnsi"/>
        </w:rPr>
      </w:pPr>
      <w:r w:rsidRPr="001D15EE">
        <w:rPr>
          <w:rFonts w:asciiTheme="minorHAnsi" w:hAnsiTheme="minorHAnsi" w:cstheme="minorHAnsi"/>
        </w:rPr>
        <w:br w:type="page"/>
      </w:r>
    </w:p>
    <w:p w14:paraId="21A75943" w14:textId="70DA159E" w:rsidR="002171F6" w:rsidRPr="001D15EE" w:rsidRDefault="005558CF" w:rsidP="007F72D6">
      <w:pPr>
        <w:pStyle w:val="Heading1"/>
        <w:spacing w:line="276" w:lineRule="auto"/>
        <w:rPr>
          <w:rFonts w:asciiTheme="minorHAnsi" w:hAnsiTheme="minorHAnsi" w:cstheme="minorHAnsi"/>
        </w:rPr>
      </w:pPr>
      <w:bookmarkStart w:id="12" w:name="_Toc57327720"/>
      <w:bookmarkStart w:id="13" w:name="_Toc57341697"/>
      <w:bookmarkStart w:id="14" w:name="_Toc66828022"/>
      <w:r w:rsidRPr="001D15EE">
        <w:rPr>
          <w:rFonts w:asciiTheme="minorHAnsi" w:hAnsiTheme="minorHAnsi" w:cstheme="minorHAnsi"/>
        </w:rPr>
        <w:lastRenderedPageBreak/>
        <w:t xml:space="preserve">2. </w:t>
      </w:r>
      <w:r w:rsidR="000279A3" w:rsidRPr="001D15EE">
        <w:rPr>
          <w:rFonts w:asciiTheme="minorHAnsi" w:hAnsiTheme="minorHAnsi" w:cstheme="minorHAnsi"/>
        </w:rPr>
        <w:tab/>
      </w:r>
      <w:bookmarkEnd w:id="12"/>
      <w:bookmarkEnd w:id="13"/>
      <w:r w:rsidR="002171F6" w:rsidRPr="001D15EE">
        <w:rPr>
          <w:rFonts w:asciiTheme="minorHAnsi" w:hAnsiTheme="minorHAnsi" w:cstheme="minorHAnsi"/>
        </w:rPr>
        <w:t>Judicial review of detention measures in the Netherlands</w:t>
      </w:r>
      <w:r w:rsidR="00A51D49" w:rsidRPr="001D15EE">
        <w:rPr>
          <w:rFonts w:asciiTheme="minorHAnsi" w:hAnsiTheme="minorHAnsi" w:cstheme="minorHAnsi"/>
        </w:rPr>
        <w:t xml:space="preserve"> in practice</w:t>
      </w:r>
      <w:bookmarkEnd w:id="14"/>
    </w:p>
    <w:p w14:paraId="797C48E7" w14:textId="3005C586" w:rsidR="00056EE1" w:rsidRPr="001D15EE" w:rsidRDefault="00056EE1" w:rsidP="007F72D6">
      <w:pPr>
        <w:spacing w:line="276" w:lineRule="auto"/>
        <w:rPr>
          <w:rFonts w:asciiTheme="minorHAnsi" w:hAnsiTheme="minorHAnsi" w:cstheme="minorHAnsi"/>
        </w:rPr>
      </w:pPr>
    </w:p>
    <w:p w14:paraId="6877660A" w14:textId="49082862" w:rsidR="00056EE1" w:rsidRPr="001D15EE" w:rsidRDefault="00056EE1" w:rsidP="007F72D6">
      <w:pPr>
        <w:spacing w:line="276" w:lineRule="auto"/>
        <w:rPr>
          <w:rFonts w:asciiTheme="minorHAnsi" w:hAnsiTheme="minorHAnsi" w:cstheme="minorHAnsi"/>
          <w:sz w:val="22"/>
          <w:szCs w:val="22"/>
        </w:rPr>
      </w:pPr>
      <w:r w:rsidRPr="001D15EE">
        <w:rPr>
          <w:rFonts w:asciiTheme="minorHAnsi" w:hAnsiTheme="minorHAnsi" w:cstheme="minorHAnsi"/>
          <w:sz w:val="22"/>
          <w:szCs w:val="22"/>
        </w:rPr>
        <w:t xml:space="preserve">In this section, we will first </w:t>
      </w:r>
      <w:r w:rsidR="00AC1118" w:rsidRPr="001D15EE">
        <w:rPr>
          <w:rFonts w:asciiTheme="minorHAnsi" w:hAnsiTheme="minorHAnsi" w:cstheme="minorHAnsi"/>
          <w:sz w:val="22"/>
          <w:szCs w:val="22"/>
        </w:rPr>
        <w:t xml:space="preserve">explain that </w:t>
      </w:r>
      <w:r w:rsidRPr="001D15EE">
        <w:rPr>
          <w:rFonts w:asciiTheme="minorHAnsi" w:hAnsiTheme="minorHAnsi" w:cstheme="minorHAnsi"/>
          <w:sz w:val="22"/>
          <w:szCs w:val="22"/>
        </w:rPr>
        <w:t>Dutch l</w:t>
      </w:r>
      <w:r w:rsidR="00AC1118" w:rsidRPr="001D15EE">
        <w:rPr>
          <w:rFonts w:asciiTheme="minorHAnsi" w:hAnsiTheme="minorHAnsi" w:cstheme="minorHAnsi"/>
          <w:sz w:val="22"/>
          <w:szCs w:val="22"/>
        </w:rPr>
        <w:t>aw prohibits administrative judges, including judges ruling in appeals against</w:t>
      </w:r>
      <w:r w:rsidRPr="001D15EE">
        <w:rPr>
          <w:rFonts w:asciiTheme="minorHAnsi" w:hAnsiTheme="minorHAnsi" w:cstheme="minorHAnsi"/>
          <w:sz w:val="22"/>
          <w:szCs w:val="22"/>
        </w:rPr>
        <w:t xml:space="preserve"> detention based on the Return Directive</w:t>
      </w:r>
      <w:r w:rsidR="00AC1118" w:rsidRPr="001D15EE">
        <w:rPr>
          <w:rFonts w:asciiTheme="minorHAnsi" w:hAnsiTheme="minorHAnsi" w:cstheme="minorHAnsi"/>
          <w:sz w:val="22"/>
          <w:szCs w:val="22"/>
        </w:rPr>
        <w:t>, to review a decision ex officio (section 2.1.)</w:t>
      </w:r>
      <w:r w:rsidRPr="001D15EE">
        <w:rPr>
          <w:rFonts w:asciiTheme="minorHAnsi" w:hAnsiTheme="minorHAnsi" w:cstheme="minorHAnsi"/>
          <w:sz w:val="22"/>
          <w:szCs w:val="22"/>
        </w:rPr>
        <w:t>.</w:t>
      </w:r>
      <w:r w:rsidR="00AC1118" w:rsidRPr="001D15EE">
        <w:rPr>
          <w:rFonts w:asciiTheme="minorHAnsi" w:hAnsiTheme="minorHAnsi" w:cstheme="minorHAnsi"/>
          <w:sz w:val="22"/>
          <w:szCs w:val="22"/>
        </w:rPr>
        <w:t xml:space="preserve"> Moreover, we will argue that, even though they rarely explicitly address this in their judgment, most District Courts of the Netherlands comply with this prohibition (section 2.2). Finally, five examples from practice will be discussed in which Dutch courts explicitly disregarded the prohibition of </w:t>
      </w:r>
      <w:r w:rsidR="00AC1118" w:rsidRPr="001D15EE">
        <w:rPr>
          <w:rFonts w:asciiTheme="minorHAnsi" w:hAnsiTheme="minorHAnsi" w:cstheme="minorHAnsi"/>
          <w:i/>
          <w:iCs/>
          <w:sz w:val="22"/>
          <w:szCs w:val="22"/>
        </w:rPr>
        <w:t>ex officio</w:t>
      </w:r>
      <w:r w:rsidR="00AC1118" w:rsidRPr="001D15EE">
        <w:rPr>
          <w:rFonts w:asciiTheme="minorHAnsi" w:hAnsiTheme="minorHAnsi" w:cstheme="minorHAnsi"/>
          <w:sz w:val="22"/>
          <w:szCs w:val="22"/>
        </w:rPr>
        <w:t xml:space="preserve"> judicial review in order to end an unlawful detention. It is also demonstrated that such rulings are usually successfully appealed by the Secretary of State before the Council of State (section 2.3). The last section contains a conclusion (section 2.4).</w:t>
      </w:r>
    </w:p>
    <w:p w14:paraId="1552D1FA" w14:textId="77777777" w:rsidR="003B0486" w:rsidRPr="001D15EE" w:rsidRDefault="003B0486" w:rsidP="007F72D6">
      <w:pPr>
        <w:spacing w:line="276" w:lineRule="auto"/>
        <w:jc w:val="both"/>
        <w:rPr>
          <w:rFonts w:asciiTheme="minorHAnsi" w:hAnsiTheme="minorHAnsi" w:cstheme="minorHAnsi"/>
          <w:b/>
          <w:bCs/>
        </w:rPr>
      </w:pPr>
    </w:p>
    <w:p w14:paraId="4785FAD4" w14:textId="291D02DC" w:rsidR="003B0486" w:rsidRPr="001D15EE" w:rsidRDefault="003B0486" w:rsidP="007F72D6">
      <w:pPr>
        <w:pStyle w:val="Heading2"/>
        <w:spacing w:line="276" w:lineRule="auto"/>
        <w:rPr>
          <w:rFonts w:asciiTheme="minorHAnsi" w:hAnsiTheme="minorHAnsi" w:cstheme="minorHAnsi"/>
          <w:sz w:val="22"/>
          <w:szCs w:val="22"/>
        </w:rPr>
      </w:pPr>
      <w:bookmarkStart w:id="15" w:name="_Toc66828023"/>
      <w:r w:rsidRPr="001D15EE">
        <w:rPr>
          <w:rFonts w:asciiTheme="minorHAnsi" w:hAnsiTheme="minorHAnsi" w:cstheme="minorHAnsi"/>
          <w:sz w:val="22"/>
          <w:szCs w:val="22"/>
        </w:rPr>
        <w:t>2.1 The Dutch legal framework</w:t>
      </w:r>
      <w:bookmarkEnd w:id="15"/>
    </w:p>
    <w:p w14:paraId="306F0B58" w14:textId="77777777" w:rsidR="003B0486" w:rsidRPr="001D15EE" w:rsidRDefault="003B0486" w:rsidP="007F72D6">
      <w:pPr>
        <w:spacing w:line="276" w:lineRule="auto"/>
        <w:rPr>
          <w:rFonts w:asciiTheme="minorHAnsi" w:hAnsiTheme="minorHAnsi" w:cstheme="minorHAnsi"/>
        </w:rPr>
      </w:pPr>
    </w:p>
    <w:p w14:paraId="44C9D025" w14:textId="18643AEC" w:rsidR="001B1FD3"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In the Netherlands, detention measures taken by the Dutch Immigration Service are administrative decisions. Such measures can be </w:t>
      </w:r>
      <w:r w:rsidR="00B467E9">
        <w:rPr>
          <w:rFonts w:asciiTheme="minorHAnsi" w:hAnsiTheme="minorHAnsi" w:cstheme="minorHAnsi"/>
          <w:sz w:val="22"/>
          <w:szCs w:val="22"/>
        </w:rPr>
        <w:t xml:space="preserve">first </w:t>
      </w:r>
      <w:r w:rsidRPr="001D15EE">
        <w:rPr>
          <w:rFonts w:asciiTheme="minorHAnsi" w:hAnsiTheme="minorHAnsi" w:cstheme="minorHAnsi"/>
          <w:sz w:val="22"/>
          <w:szCs w:val="22"/>
        </w:rPr>
        <w:t xml:space="preserve">appealed before the </w:t>
      </w:r>
      <w:r w:rsidR="00B467E9">
        <w:rPr>
          <w:rFonts w:asciiTheme="minorHAnsi" w:hAnsiTheme="minorHAnsi" w:cstheme="minorHAnsi"/>
          <w:sz w:val="22"/>
          <w:szCs w:val="22"/>
        </w:rPr>
        <w:t>D</w:t>
      </w:r>
      <w:r w:rsidRPr="001D15EE">
        <w:rPr>
          <w:rFonts w:asciiTheme="minorHAnsi" w:hAnsiTheme="minorHAnsi" w:cstheme="minorHAnsi"/>
          <w:sz w:val="22"/>
          <w:szCs w:val="22"/>
        </w:rPr>
        <w:t xml:space="preserve">istrict </w:t>
      </w:r>
      <w:r w:rsidR="00B467E9">
        <w:rPr>
          <w:rFonts w:asciiTheme="minorHAnsi" w:hAnsiTheme="minorHAnsi" w:cstheme="minorHAnsi"/>
          <w:sz w:val="22"/>
          <w:szCs w:val="22"/>
        </w:rPr>
        <w:t>C</w:t>
      </w:r>
      <w:r w:rsidRPr="001D15EE">
        <w:rPr>
          <w:rFonts w:asciiTheme="minorHAnsi" w:hAnsiTheme="minorHAnsi" w:cstheme="minorHAnsi"/>
          <w:sz w:val="22"/>
          <w:szCs w:val="22"/>
        </w:rPr>
        <w:t xml:space="preserve">ourt and </w:t>
      </w:r>
      <w:r w:rsidR="00B467E9">
        <w:rPr>
          <w:rFonts w:asciiTheme="minorHAnsi" w:hAnsiTheme="minorHAnsi" w:cstheme="minorHAnsi"/>
          <w:sz w:val="22"/>
          <w:szCs w:val="22"/>
        </w:rPr>
        <w:t>subsequently on higher appeal to</w:t>
      </w:r>
      <w:r w:rsidRPr="001D15EE">
        <w:rPr>
          <w:rFonts w:asciiTheme="minorHAnsi" w:hAnsiTheme="minorHAnsi" w:cstheme="minorHAnsi"/>
          <w:sz w:val="22"/>
          <w:szCs w:val="22"/>
        </w:rPr>
        <w:t xml:space="preserve"> the Council of State.</w:t>
      </w:r>
      <w:r w:rsidRPr="001D15EE">
        <w:rPr>
          <w:rStyle w:val="FootnoteReference"/>
          <w:rFonts w:asciiTheme="minorHAnsi" w:hAnsiTheme="minorHAnsi" w:cstheme="minorHAnsi"/>
          <w:sz w:val="22"/>
          <w:szCs w:val="22"/>
        </w:rPr>
        <w:footnoteReference w:id="5"/>
      </w:r>
      <w:r w:rsidRPr="001D15EE">
        <w:rPr>
          <w:rFonts w:asciiTheme="minorHAnsi" w:hAnsiTheme="minorHAnsi" w:cstheme="minorHAnsi"/>
          <w:sz w:val="22"/>
          <w:szCs w:val="22"/>
        </w:rPr>
        <w:t xml:space="preserve"> </w:t>
      </w:r>
      <w:r w:rsidR="001B1FD3" w:rsidRPr="001D15EE">
        <w:rPr>
          <w:rFonts w:asciiTheme="minorHAnsi" w:hAnsiTheme="minorHAnsi" w:cstheme="minorHAnsi"/>
          <w:sz w:val="22"/>
          <w:szCs w:val="22"/>
        </w:rPr>
        <w:t>If the TCN has not appealed the detention measure themselves, the Secretary of State will notify the District Court about the detention measure.</w:t>
      </w:r>
      <w:r w:rsidR="00A02916" w:rsidRPr="001D15EE">
        <w:rPr>
          <w:rStyle w:val="FootnoteReference"/>
          <w:rFonts w:asciiTheme="minorHAnsi" w:hAnsiTheme="minorHAnsi" w:cstheme="minorHAnsi"/>
          <w:sz w:val="22"/>
          <w:szCs w:val="22"/>
        </w:rPr>
        <w:footnoteReference w:id="6"/>
      </w:r>
      <w:r w:rsidR="001B1FD3" w:rsidRPr="001D15EE">
        <w:rPr>
          <w:rFonts w:asciiTheme="minorHAnsi" w:hAnsiTheme="minorHAnsi" w:cstheme="minorHAnsi"/>
          <w:sz w:val="22"/>
          <w:szCs w:val="22"/>
        </w:rPr>
        <w:t xml:space="preserve"> As soon as the court has received the notification, the TCN is deemed to have lodged an appeal against the detention decision and submitted a request for compensation.</w:t>
      </w:r>
      <w:r w:rsidR="00A02916" w:rsidRPr="001D15EE">
        <w:rPr>
          <w:rFonts w:asciiTheme="minorHAnsi" w:hAnsiTheme="minorHAnsi" w:cstheme="minorHAnsi"/>
          <w:sz w:val="22"/>
          <w:szCs w:val="22"/>
        </w:rPr>
        <w:t xml:space="preserve"> Article 94(6) of the Aliens Act 2000 provides that the court should declare the appeal well-founded and lift the detention measure or change the enforcement of the detention measure ’if it finds that the application or enforcement of the measure is contrary to the law or not justified weighing up all interests involved’.</w:t>
      </w:r>
      <w:r w:rsidR="00A02916" w:rsidRPr="001D15EE">
        <w:rPr>
          <w:rStyle w:val="FootnoteReference"/>
          <w:rFonts w:asciiTheme="minorHAnsi" w:hAnsiTheme="minorHAnsi" w:cstheme="minorHAnsi"/>
          <w:sz w:val="22"/>
          <w:szCs w:val="22"/>
        </w:rPr>
        <w:footnoteReference w:id="7"/>
      </w:r>
      <w:r w:rsidR="00A02916" w:rsidRPr="001D15EE">
        <w:rPr>
          <w:rFonts w:asciiTheme="minorHAnsi" w:hAnsiTheme="minorHAnsi" w:cstheme="minorHAnsi"/>
          <w:sz w:val="22"/>
          <w:szCs w:val="22"/>
        </w:rPr>
        <w:t xml:space="preserve"> </w:t>
      </w:r>
    </w:p>
    <w:p w14:paraId="79F48216" w14:textId="69A28430" w:rsidR="003B0486" w:rsidRPr="001D15EE" w:rsidRDefault="00F769CB" w:rsidP="007F72D6">
      <w:pPr>
        <w:spacing w:line="276" w:lineRule="auto"/>
        <w:ind w:firstLine="708"/>
        <w:jc w:val="both"/>
        <w:rPr>
          <w:rFonts w:asciiTheme="minorHAnsi" w:hAnsiTheme="minorHAnsi" w:cstheme="minorHAnsi"/>
          <w:sz w:val="22"/>
          <w:szCs w:val="22"/>
        </w:rPr>
      </w:pPr>
      <w:r w:rsidRPr="001D15EE">
        <w:rPr>
          <w:rFonts w:asciiTheme="minorHAnsi" w:hAnsiTheme="minorHAnsi" w:cstheme="minorHAnsi"/>
          <w:sz w:val="22"/>
          <w:szCs w:val="22"/>
        </w:rPr>
        <w:t>In detention cases, the Dutch District</w:t>
      </w:r>
      <w:r w:rsidR="003B0486" w:rsidRPr="001D15EE">
        <w:rPr>
          <w:rFonts w:asciiTheme="minorHAnsi" w:hAnsiTheme="minorHAnsi" w:cstheme="minorHAnsi"/>
          <w:sz w:val="22"/>
          <w:szCs w:val="22"/>
        </w:rPr>
        <w:t xml:space="preserve"> courts operate within the general administrative legal system of the Netherlands. That means that they review the detention decision taken by the Immigration Service. They do not carry out an independent assessment themselves. This follows from Article 8:69 of the General Administrative Law Act (henceforth: GALA), which provides:</w:t>
      </w:r>
    </w:p>
    <w:p w14:paraId="4B686CBA" w14:textId="77777777" w:rsidR="00A51D49" w:rsidRPr="001D15EE" w:rsidRDefault="00A51D49" w:rsidP="007F72D6">
      <w:pPr>
        <w:spacing w:line="276" w:lineRule="auto"/>
        <w:jc w:val="both"/>
        <w:rPr>
          <w:rFonts w:asciiTheme="minorHAnsi" w:hAnsiTheme="minorHAnsi" w:cstheme="minorHAnsi"/>
          <w:sz w:val="22"/>
          <w:szCs w:val="22"/>
        </w:rPr>
      </w:pPr>
    </w:p>
    <w:p w14:paraId="342F757D" w14:textId="77777777" w:rsidR="003B0486" w:rsidRPr="001D15EE" w:rsidRDefault="003B0486" w:rsidP="007F72D6">
      <w:pPr>
        <w:pStyle w:val="ListParagraph"/>
        <w:numPr>
          <w:ilvl w:val="0"/>
          <w:numId w:val="9"/>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The administrative judge will rule on the basis of the grounds of appeal, the documents submitted, the proceedings during the preliminary investigation and the investigation in court;</w:t>
      </w:r>
    </w:p>
    <w:p w14:paraId="1BBAFAAE" w14:textId="77777777" w:rsidR="003B0486" w:rsidRPr="001D15EE" w:rsidRDefault="003B0486" w:rsidP="007F72D6">
      <w:pPr>
        <w:pStyle w:val="ListParagraph"/>
        <w:numPr>
          <w:ilvl w:val="0"/>
          <w:numId w:val="9"/>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The administrative judge shall supplement the legal grounds ex officio;</w:t>
      </w:r>
    </w:p>
    <w:p w14:paraId="6F2F9683" w14:textId="4D1BBB72" w:rsidR="003B0486" w:rsidRPr="001D15EE" w:rsidRDefault="003B0486" w:rsidP="007F72D6">
      <w:pPr>
        <w:pStyle w:val="ListParagraph"/>
        <w:numPr>
          <w:ilvl w:val="0"/>
          <w:numId w:val="9"/>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The administrative judge may supplement the facts ex officio.</w:t>
      </w:r>
      <w:r w:rsidRPr="001D15EE">
        <w:rPr>
          <w:rStyle w:val="FootnoteReference"/>
          <w:rFonts w:asciiTheme="minorHAnsi" w:hAnsiTheme="minorHAnsi" w:cstheme="minorHAnsi"/>
          <w:sz w:val="22"/>
          <w:szCs w:val="22"/>
        </w:rPr>
        <w:footnoteReference w:id="8"/>
      </w:r>
      <w:r w:rsidR="00341110">
        <w:rPr>
          <w:rFonts w:asciiTheme="minorHAnsi" w:hAnsiTheme="minorHAnsi" w:cstheme="minorHAnsi"/>
          <w:sz w:val="22"/>
          <w:szCs w:val="22"/>
        </w:rPr>
        <w:t xml:space="preserve"> </w:t>
      </w:r>
    </w:p>
    <w:p w14:paraId="0FAE0D5D" w14:textId="2B9F7DFC"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This provision </w:t>
      </w:r>
      <w:r w:rsidR="00DC30D4" w:rsidRPr="001D15EE">
        <w:rPr>
          <w:rFonts w:asciiTheme="minorHAnsi" w:hAnsiTheme="minorHAnsi" w:cstheme="minorHAnsi"/>
          <w:sz w:val="22"/>
          <w:szCs w:val="22"/>
        </w:rPr>
        <w:t xml:space="preserve">is interpreted strictly by the Council of State. Even though this was not the intention of the legislator, the Council of State has held that Article 8:69 GALA </w:t>
      </w:r>
      <w:r w:rsidRPr="001D15EE">
        <w:rPr>
          <w:rFonts w:asciiTheme="minorHAnsi" w:hAnsiTheme="minorHAnsi" w:cstheme="minorHAnsi"/>
          <w:sz w:val="22"/>
          <w:szCs w:val="22"/>
        </w:rPr>
        <w:t xml:space="preserve">prohibits the administrative court </w:t>
      </w:r>
      <w:r w:rsidR="00B467E9">
        <w:rPr>
          <w:rFonts w:asciiTheme="minorHAnsi" w:hAnsiTheme="minorHAnsi" w:cstheme="minorHAnsi"/>
          <w:sz w:val="22"/>
          <w:szCs w:val="22"/>
        </w:rPr>
        <w:t>from</w:t>
      </w:r>
      <w:r w:rsidRPr="001D15EE">
        <w:rPr>
          <w:rFonts w:asciiTheme="minorHAnsi" w:hAnsiTheme="minorHAnsi" w:cstheme="minorHAnsi"/>
          <w:sz w:val="22"/>
          <w:szCs w:val="22"/>
        </w:rPr>
        <w:t xml:space="preserve"> rul</w:t>
      </w:r>
      <w:r w:rsidR="00B467E9">
        <w:rPr>
          <w:rFonts w:asciiTheme="minorHAnsi" w:hAnsiTheme="minorHAnsi" w:cstheme="minorHAnsi"/>
          <w:sz w:val="22"/>
          <w:szCs w:val="22"/>
        </w:rPr>
        <w:t>ing</w:t>
      </w:r>
      <w:r w:rsidRPr="001D15EE">
        <w:rPr>
          <w:rFonts w:asciiTheme="minorHAnsi" w:hAnsiTheme="minorHAnsi" w:cstheme="minorHAnsi"/>
          <w:sz w:val="22"/>
          <w:szCs w:val="22"/>
        </w:rPr>
        <w:t xml:space="preserve"> on aspects of the administrative decision, which have not been contested by the applicant.</w:t>
      </w:r>
      <w:r w:rsidR="00DC30D4" w:rsidRPr="001D15EE">
        <w:rPr>
          <w:rStyle w:val="FootnoteReference"/>
          <w:rFonts w:asciiTheme="minorHAnsi" w:hAnsiTheme="minorHAnsi" w:cstheme="minorHAnsi"/>
          <w:sz w:val="22"/>
          <w:szCs w:val="22"/>
        </w:rPr>
        <w:footnoteReference w:id="9"/>
      </w:r>
      <w:r w:rsidRPr="001D15EE">
        <w:rPr>
          <w:rFonts w:asciiTheme="minorHAnsi" w:hAnsiTheme="minorHAnsi" w:cstheme="minorHAnsi"/>
          <w:sz w:val="22"/>
          <w:szCs w:val="22"/>
        </w:rPr>
        <w:t xml:space="preserve"> At the same time, the </w:t>
      </w:r>
      <w:r w:rsidR="00FF781D">
        <w:rPr>
          <w:rFonts w:asciiTheme="minorHAnsi" w:hAnsiTheme="minorHAnsi" w:cstheme="minorHAnsi"/>
          <w:sz w:val="22"/>
          <w:szCs w:val="22"/>
        </w:rPr>
        <w:t>D</w:t>
      </w:r>
      <w:r w:rsidRPr="001D15EE">
        <w:rPr>
          <w:rFonts w:asciiTheme="minorHAnsi" w:hAnsiTheme="minorHAnsi" w:cstheme="minorHAnsi"/>
          <w:sz w:val="22"/>
          <w:szCs w:val="22"/>
        </w:rPr>
        <w:t xml:space="preserve">istrict </w:t>
      </w:r>
      <w:r w:rsidR="00FF781D">
        <w:rPr>
          <w:rFonts w:asciiTheme="minorHAnsi" w:hAnsiTheme="minorHAnsi" w:cstheme="minorHAnsi"/>
          <w:sz w:val="22"/>
          <w:szCs w:val="22"/>
        </w:rPr>
        <w:t>C</w:t>
      </w:r>
      <w:r w:rsidRPr="001D15EE">
        <w:rPr>
          <w:rFonts w:asciiTheme="minorHAnsi" w:hAnsiTheme="minorHAnsi" w:cstheme="minorHAnsi"/>
          <w:sz w:val="22"/>
          <w:szCs w:val="22"/>
        </w:rPr>
        <w:t>ourts have an obligation to address all grounds of appeal submitted by the applicant.</w:t>
      </w:r>
      <w:r w:rsidRPr="001D15EE">
        <w:rPr>
          <w:rStyle w:val="FootnoteReference"/>
          <w:rFonts w:asciiTheme="minorHAnsi" w:hAnsiTheme="minorHAnsi" w:cstheme="minorHAnsi"/>
          <w:sz w:val="22"/>
          <w:szCs w:val="22"/>
        </w:rPr>
        <w:footnoteReference w:id="10"/>
      </w:r>
      <w:r w:rsidRPr="001D15EE">
        <w:rPr>
          <w:rFonts w:asciiTheme="minorHAnsi" w:hAnsiTheme="minorHAnsi" w:cstheme="minorHAnsi"/>
          <w:sz w:val="22"/>
          <w:szCs w:val="22"/>
        </w:rPr>
        <w:t xml:space="preserve"> The court is </w:t>
      </w:r>
      <w:r w:rsidR="00A02916" w:rsidRPr="001D15EE">
        <w:rPr>
          <w:rFonts w:asciiTheme="minorHAnsi" w:hAnsiTheme="minorHAnsi" w:cstheme="minorHAnsi"/>
          <w:sz w:val="22"/>
          <w:szCs w:val="22"/>
        </w:rPr>
        <w:t xml:space="preserve">thus </w:t>
      </w:r>
      <w:r w:rsidRPr="001D15EE">
        <w:rPr>
          <w:rFonts w:asciiTheme="minorHAnsi" w:hAnsiTheme="minorHAnsi" w:cstheme="minorHAnsi"/>
          <w:sz w:val="22"/>
          <w:szCs w:val="22"/>
        </w:rPr>
        <w:t xml:space="preserve">bound by the propositions of the applicant about the aspects of the decision </w:t>
      </w:r>
      <w:r w:rsidR="00D25BDD">
        <w:rPr>
          <w:rFonts w:asciiTheme="minorHAnsi" w:hAnsiTheme="minorHAnsi" w:cstheme="minorHAnsi"/>
          <w:sz w:val="22"/>
          <w:szCs w:val="22"/>
        </w:rPr>
        <w:t>they</w:t>
      </w:r>
      <w:r w:rsidRPr="001D15EE">
        <w:rPr>
          <w:rFonts w:asciiTheme="minorHAnsi" w:hAnsiTheme="minorHAnsi" w:cstheme="minorHAnsi"/>
          <w:sz w:val="22"/>
          <w:szCs w:val="22"/>
        </w:rPr>
        <w:t xml:space="preserve"> consider to be unlawful. </w:t>
      </w:r>
      <w:r w:rsidR="00672AB2" w:rsidRPr="001D15EE">
        <w:rPr>
          <w:rFonts w:asciiTheme="minorHAnsi" w:hAnsiTheme="minorHAnsi" w:cstheme="minorHAnsi"/>
          <w:sz w:val="22"/>
          <w:szCs w:val="22"/>
        </w:rPr>
        <w:t xml:space="preserve">As example </w:t>
      </w:r>
      <w:r w:rsidR="008D6508" w:rsidRPr="001D15EE">
        <w:rPr>
          <w:rFonts w:asciiTheme="minorHAnsi" w:hAnsiTheme="minorHAnsi" w:cstheme="minorHAnsi"/>
          <w:sz w:val="22"/>
          <w:szCs w:val="22"/>
        </w:rPr>
        <w:t>3</w:t>
      </w:r>
      <w:r w:rsidR="00A02916" w:rsidRPr="001D15EE">
        <w:rPr>
          <w:rFonts w:asciiTheme="minorHAnsi" w:hAnsiTheme="minorHAnsi" w:cstheme="minorHAnsi"/>
          <w:sz w:val="22"/>
          <w:szCs w:val="22"/>
        </w:rPr>
        <w:t xml:space="preserve"> in section 2.3 will demonstrate, this also applies in cases in which the Secretary of State has notified the District C</w:t>
      </w:r>
      <w:r w:rsidR="005A285F" w:rsidRPr="001D15EE">
        <w:rPr>
          <w:rFonts w:asciiTheme="minorHAnsi" w:hAnsiTheme="minorHAnsi" w:cstheme="minorHAnsi"/>
          <w:sz w:val="22"/>
          <w:szCs w:val="22"/>
        </w:rPr>
        <w:t xml:space="preserve">ourt about the detention decision </w:t>
      </w:r>
      <w:r w:rsidR="005A285F" w:rsidRPr="001D15EE">
        <w:rPr>
          <w:rFonts w:asciiTheme="minorHAnsi" w:hAnsiTheme="minorHAnsi" w:cstheme="minorHAnsi"/>
          <w:sz w:val="22"/>
          <w:szCs w:val="22"/>
        </w:rPr>
        <w:lastRenderedPageBreak/>
        <w:t>because the TCN has not lodged the appeal themselves</w:t>
      </w:r>
      <w:r w:rsidR="00A02916" w:rsidRPr="001D15EE">
        <w:rPr>
          <w:rFonts w:asciiTheme="minorHAnsi" w:hAnsiTheme="minorHAnsi" w:cstheme="minorHAnsi"/>
          <w:sz w:val="22"/>
          <w:szCs w:val="22"/>
        </w:rPr>
        <w:t xml:space="preserve">. This seems to contradict the aim of Article 94 to protect TCN’s </w:t>
      </w:r>
      <w:r w:rsidR="005A285F" w:rsidRPr="001D15EE">
        <w:rPr>
          <w:rFonts w:asciiTheme="minorHAnsi" w:hAnsiTheme="minorHAnsi" w:cstheme="minorHAnsi"/>
          <w:sz w:val="22"/>
          <w:szCs w:val="22"/>
        </w:rPr>
        <w:t>against unlawful detention.</w:t>
      </w:r>
      <w:r w:rsidR="00A02916" w:rsidRPr="001D15EE">
        <w:rPr>
          <w:rStyle w:val="FootnoteReference"/>
          <w:rFonts w:asciiTheme="minorHAnsi" w:hAnsiTheme="minorHAnsi" w:cstheme="minorHAnsi"/>
          <w:sz w:val="22"/>
          <w:szCs w:val="22"/>
        </w:rPr>
        <w:footnoteReference w:id="11"/>
      </w:r>
    </w:p>
    <w:p w14:paraId="24266545" w14:textId="77777777" w:rsidR="0055174A" w:rsidRDefault="0055174A" w:rsidP="007F72D6">
      <w:pPr>
        <w:spacing w:line="276" w:lineRule="auto"/>
        <w:rPr>
          <w:rFonts w:asciiTheme="minorHAnsi" w:hAnsiTheme="minorHAnsi" w:cstheme="minorHAnsi"/>
          <w:i/>
          <w:sz w:val="22"/>
          <w:szCs w:val="22"/>
        </w:rPr>
      </w:pPr>
    </w:p>
    <w:p w14:paraId="4529AE75" w14:textId="4D1B1CA3" w:rsidR="000A05CF" w:rsidRPr="001D15EE" w:rsidRDefault="002C6210" w:rsidP="007F72D6">
      <w:pPr>
        <w:spacing w:line="276" w:lineRule="auto"/>
        <w:rPr>
          <w:rFonts w:asciiTheme="minorHAnsi" w:hAnsiTheme="minorHAnsi" w:cstheme="minorHAnsi"/>
          <w:i/>
          <w:sz w:val="22"/>
          <w:szCs w:val="22"/>
        </w:rPr>
      </w:pPr>
      <w:r w:rsidRPr="001D15EE">
        <w:rPr>
          <w:rFonts w:asciiTheme="minorHAnsi" w:hAnsiTheme="minorHAnsi" w:cstheme="minorHAnsi"/>
          <w:i/>
          <w:sz w:val="22"/>
          <w:szCs w:val="22"/>
        </w:rPr>
        <w:t xml:space="preserve">1. </w:t>
      </w:r>
      <w:r w:rsidR="000A05CF" w:rsidRPr="001D15EE">
        <w:rPr>
          <w:rFonts w:asciiTheme="minorHAnsi" w:hAnsiTheme="minorHAnsi" w:cstheme="minorHAnsi"/>
          <w:i/>
          <w:sz w:val="22"/>
          <w:szCs w:val="22"/>
        </w:rPr>
        <w:t>Supplementing the legal grounds</w:t>
      </w:r>
    </w:p>
    <w:p w14:paraId="2343604F" w14:textId="6BC4FDB7"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Judges are only allowed to rule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in three situations. The first situation is defined in the second paragraph of Article 8:69 GALA, which requires a judge to supplement (</w:t>
      </w:r>
      <w:r w:rsidRPr="001D15EE">
        <w:rPr>
          <w:rFonts w:asciiTheme="minorHAnsi" w:hAnsiTheme="minorHAnsi" w:cstheme="minorHAnsi"/>
          <w:i/>
          <w:iCs/>
          <w:sz w:val="22"/>
          <w:szCs w:val="22"/>
        </w:rPr>
        <w:t>aanvullen</w:t>
      </w:r>
      <w:r w:rsidRPr="001D15EE">
        <w:rPr>
          <w:rFonts w:asciiTheme="minorHAnsi" w:hAnsiTheme="minorHAnsi" w:cstheme="minorHAnsi"/>
          <w:sz w:val="22"/>
          <w:szCs w:val="22"/>
        </w:rPr>
        <w:t xml:space="preserve">) the legal grounds in a case. This means that the judge should ‘translate’ the grounds submitted by the parties </w:t>
      </w:r>
      <w:r w:rsidRPr="001D15EE">
        <w:rPr>
          <w:rFonts w:asciiTheme="minorHAnsi" w:hAnsiTheme="minorHAnsi" w:cstheme="minorHAnsi"/>
          <w:color w:val="000000"/>
          <w:sz w:val="22"/>
          <w:szCs w:val="22"/>
          <w:shd w:val="clear" w:color="auto" w:fill="FFFFFF"/>
        </w:rPr>
        <w:t>in legal terms.</w:t>
      </w:r>
      <w:r w:rsidRPr="001D15EE">
        <w:rPr>
          <w:rStyle w:val="FootnoteReference"/>
          <w:rFonts w:asciiTheme="minorHAnsi" w:hAnsiTheme="minorHAnsi" w:cstheme="minorHAnsi"/>
          <w:color w:val="000000"/>
          <w:sz w:val="22"/>
          <w:szCs w:val="22"/>
          <w:shd w:val="clear" w:color="auto" w:fill="FFFFFF"/>
        </w:rPr>
        <w:footnoteReference w:id="12"/>
      </w:r>
      <w:r w:rsidRPr="001D15EE">
        <w:rPr>
          <w:rFonts w:asciiTheme="minorHAnsi" w:hAnsiTheme="minorHAnsi" w:cstheme="minorHAnsi"/>
          <w:color w:val="000000"/>
          <w:sz w:val="22"/>
          <w:szCs w:val="22"/>
          <w:shd w:val="clear" w:color="auto" w:fill="FFFFFF"/>
        </w:rPr>
        <w:t xml:space="preserve"> The court is for example required to </w:t>
      </w:r>
      <w:r w:rsidRPr="001D15EE">
        <w:rPr>
          <w:rFonts w:asciiTheme="minorHAnsi" w:hAnsiTheme="minorHAnsi" w:cstheme="minorHAnsi"/>
          <w:i/>
          <w:iCs/>
          <w:color w:val="000000"/>
          <w:sz w:val="22"/>
          <w:szCs w:val="22"/>
          <w:shd w:val="clear" w:color="auto" w:fill="FFFFFF"/>
        </w:rPr>
        <w:t>ex officio</w:t>
      </w:r>
      <w:r w:rsidRPr="001D15EE">
        <w:rPr>
          <w:rFonts w:asciiTheme="minorHAnsi" w:hAnsiTheme="minorHAnsi" w:cstheme="minorHAnsi"/>
          <w:color w:val="000000"/>
          <w:sz w:val="22"/>
          <w:szCs w:val="22"/>
          <w:shd w:val="clear" w:color="auto" w:fill="FFFFFF"/>
        </w:rPr>
        <w:t xml:space="preserve"> examine a case under Article 8 of the European Convention of Human Rights (the right to family life), if the applicant has only referred to Article 7 of the EU Charter of Fundamental Rights (also the right of family life) in a case, which does not fall within the scope of EU law.</w:t>
      </w:r>
      <w:r w:rsidRPr="001D15EE">
        <w:rPr>
          <w:rStyle w:val="FootnoteReference"/>
          <w:rFonts w:asciiTheme="minorHAnsi" w:hAnsiTheme="minorHAnsi" w:cstheme="minorHAnsi"/>
          <w:color w:val="000000"/>
          <w:sz w:val="22"/>
          <w:szCs w:val="22"/>
          <w:shd w:val="clear" w:color="auto" w:fill="FFFFFF"/>
        </w:rPr>
        <w:footnoteReference w:id="13"/>
      </w:r>
      <w:r w:rsidR="004A0B2B" w:rsidRPr="001D15EE">
        <w:rPr>
          <w:rFonts w:asciiTheme="minorHAnsi" w:hAnsiTheme="minorHAnsi" w:cstheme="minorHAnsi"/>
          <w:color w:val="000000"/>
          <w:sz w:val="22"/>
          <w:szCs w:val="22"/>
          <w:shd w:val="clear" w:color="auto" w:fill="FFFFFF"/>
        </w:rPr>
        <w:t xml:space="preserve"> </w:t>
      </w:r>
      <w:r w:rsidR="008D6508" w:rsidRPr="001D15EE">
        <w:rPr>
          <w:rFonts w:asciiTheme="minorHAnsi" w:hAnsiTheme="minorHAnsi" w:cstheme="minorHAnsi"/>
          <w:color w:val="000000"/>
          <w:sz w:val="22"/>
          <w:szCs w:val="22"/>
          <w:shd w:val="clear" w:color="auto" w:fill="FFFFFF"/>
        </w:rPr>
        <w:t>W</w:t>
      </w:r>
      <w:r w:rsidR="004A0B2B" w:rsidRPr="001D15EE">
        <w:rPr>
          <w:rFonts w:asciiTheme="minorHAnsi" w:hAnsiTheme="minorHAnsi" w:cstheme="minorHAnsi"/>
          <w:color w:val="000000"/>
          <w:sz w:val="22"/>
          <w:szCs w:val="22"/>
          <w:shd w:val="clear" w:color="auto" w:fill="FFFFFF"/>
        </w:rPr>
        <w:t>e will show in section 2.3</w:t>
      </w:r>
      <w:r w:rsidR="005A285F" w:rsidRPr="001D15EE">
        <w:rPr>
          <w:rFonts w:asciiTheme="minorHAnsi" w:hAnsiTheme="minorHAnsi" w:cstheme="minorHAnsi"/>
          <w:color w:val="000000"/>
          <w:sz w:val="22"/>
          <w:szCs w:val="22"/>
          <w:shd w:val="clear" w:color="auto" w:fill="FFFFFF"/>
        </w:rPr>
        <w:t xml:space="preserve">, </w:t>
      </w:r>
      <w:r w:rsidR="008D6508" w:rsidRPr="001D15EE">
        <w:rPr>
          <w:rFonts w:asciiTheme="minorHAnsi" w:hAnsiTheme="minorHAnsi" w:cstheme="minorHAnsi"/>
          <w:color w:val="000000"/>
          <w:sz w:val="22"/>
          <w:szCs w:val="22"/>
          <w:shd w:val="clear" w:color="auto" w:fill="FFFFFF"/>
        </w:rPr>
        <w:t xml:space="preserve">that </w:t>
      </w:r>
      <w:r w:rsidR="005A285F" w:rsidRPr="001D15EE">
        <w:rPr>
          <w:rFonts w:asciiTheme="minorHAnsi" w:hAnsiTheme="minorHAnsi" w:cstheme="minorHAnsi"/>
          <w:color w:val="000000"/>
          <w:sz w:val="22"/>
          <w:szCs w:val="22"/>
          <w:shd w:val="clear" w:color="auto" w:fill="FFFFFF"/>
        </w:rPr>
        <w:t xml:space="preserve">this requirement does not concern the supplementing of arguments for unlawfulness of the detention. </w:t>
      </w:r>
      <w:r w:rsidR="00CF354A" w:rsidRPr="001D15EE">
        <w:rPr>
          <w:rFonts w:asciiTheme="minorHAnsi" w:hAnsiTheme="minorHAnsi" w:cstheme="minorHAnsi"/>
          <w:color w:val="000000"/>
          <w:sz w:val="22"/>
          <w:szCs w:val="22"/>
          <w:shd w:val="clear" w:color="auto" w:fill="FFFFFF"/>
        </w:rPr>
        <w:t>So,</w:t>
      </w:r>
      <w:r w:rsidR="005A285F" w:rsidRPr="001D15EE">
        <w:rPr>
          <w:rFonts w:asciiTheme="minorHAnsi" w:hAnsiTheme="minorHAnsi" w:cstheme="minorHAnsi"/>
          <w:color w:val="000000"/>
          <w:sz w:val="22"/>
          <w:szCs w:val="22"/>
          <w:shd w:val="clear" w:color="auto" w:fill="FFFFFF"/>
        </w:rPr>
        <w:t xml:space="preserve"> </w:t>
      </w:r>
      <w:r w:rsidR="000A05CF" w:rsidRPr="001D15EE">
        <w:rPr>
          <w:rFonts w:asciiTheme="minorHAnsi" w:hAnsiTheme="minorHAnsi" w:cstheme="minorHAnsi"/>
          <w:color w:val="000000"/>
          <w:sz w:val="22"/>
          <w:szCs w:val="22"/>
          <w:shd w:val="clear" w:color="auto" w:fill="FFFFFF"/>
        </w:rPr>
        <w:t>if the TCN fails to mention an argument why there is no prospect of removal, the judge will not be able to raise this argument of their own motion.</w:t>
      </w:r>
      <w:r w:rsidR="00341110">
        <w:rPr>
          <w:rFonts w:asciiTheme="minorHAnsi" w:hAnsiTheme="minorHAnsi" w:cstheme="minorHAnsi"/>
          <w:color w:val="000000"/>
          <w:sz w:val="22"/>
          <w:szCs w:val="22"/>
          <w:shd w:val="clear" w:color="auto" w:fill="FFFFFF"/>
        </w:rPr>
        <w:t xml:space="preserve"> </w:t>
      </w:r>
    </w:p>
    <w:p w14:paraId="08FABCC9" w14:textId="77777777" w:rsidR="000A05CF" w:rsidRPr="001D15EE" w:rsidRDefault="000A05CF" w:rsidP="007F72D6">
      <w:pPr>
        <w:spacing w:line="276" w:lineRule="auto"/>
        <w:jc w:val="both"/>
        <w:rPr>
          <w:rFonts w:asciiTheme="minorHAnsi" w:hAnsiTheme="minorHAnsi" w:cstheme="minorHAnsi"/>
          <w:sz w:val="22"/>
          <w:szCs w:val="22"/>
        </w:rPr>
      </w:pPr>
    </w:p>
    <w:p w14:paraId="448C5E37" w14:textId="02DAD024" w:rsidR="000A05CF" w:rsidRPr="001D15EE" w:rsidRDefault="002C6210" w:rsidP="007F72D6">
      <w:pPr>
        <w:spacing w:line="276" w:lineRule="auto"/>
        <w:jc w:val="both"/>
        <w:rPr>
          <w:rFonts w:asciiTheme="minorHAnsi" w:hAnsiTheme="minorHAnsi" w:cstheme="minorHAnsi"/>
          <w:i/>
          <w:sz w:val="22"/>
          <w:szCs w:val="22"/>
        </w:rPr>
      </w:pPr>
      <w:r w:rsidRPr="001D15EE">
        <w:rPr>
          <w:rFonts w:asciiTheme="minorHAnsi" w:hAnsiTheme="minorHAnsi" w:cstheme="minorHAnsi"/>
          <w:i/>
          <w:sz w:val="22"/>
          <w:szCs w:val="22"/>
        </w:rPr>
        <w:t xml:space="preserve">2. Provisions of </w:t>
      </w:r>
      <w:r w:rsidR="008B7350" w:rsidRPr="001D15EE">
        <w:rPr>
          <w:rFonts w:asciiTheme="minorHAnsi" w:hAnsiTheme="minorHAnsi" w:cstheme="minorHAnsi"/>
          <w:i/>
          <w:sz w:val="22"/>
          <w:szCs w:val="22"/>
        </w:rPr>
        <w:t>‘</w:t>
      </w:r>
      <w:r w:rsidRPr="001D15EE">
        <w:rPr>
          <w:rFonts w:asciiTheme="minorHAnsi" w:hAnsiTheme="minorHAnsi" w:cstheme="minorHAnsi"/>
          <w:i/>
          <w:sz w:val="22"/>
          <w:szCs w:val="22"/>
        </w:rPr>
        <w:t>public order</w:t>
      </w:r>
      <w:r w:rsidR="008B7350" w:rsidRPr="001D15EE">
        <w:rPr>
          <w:rFonts w:asciiTheme="minorHAnsi" w:hAnsiTheme="minorHAnsi" w:cstheme="minorHAnsi"/>
          <w:i/>
          <w:sz w:val="22"/>
          <w:szCs w:val="22"/>
        </w:rPr>
        <w:t>’</w:t>
      </w:r>
    </w:p>
    <w:p w14:paraId="37FADEC2" w14:textId="747BA517" w:rsidR="002C6210"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Second, the court is required to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apply provisions, which are considered to be of ‘public order’ (</w:t>
      </w:r>
      <w:r w:rsidRPr="001D15EE">
        <w:rPr>
          <w:rFonts w:asciiTheme="minorHAnsi" w:hAnsiTheme="minorHAnsi" w:cstheme="minorHAnsi"/>
          <w:i/>
          <w:iCs/>
          <w:sz w:val="22"/>
          <w:szCs w:val="22"/>
        </w:rPr>
        <w:t>openbare orde</w:t>
      </w:r>
      <w:r w:rsidRPr="001D15EE">
        <w:rPr>
          <w:rFonts w:asciiTheme="minorHAnsi" w:hAnsiTheme="minorHAnsi" w:cstheme="minorHAnsi"/>
          <w:sz w:val="22"/>
          <w:szCs w:val="22"/>
        </w:rPr>
        <w:t xml:space="preserve">). The provisions </w:t>
      </w:r>
      <w:r w:rsidR="00D25BDD">
        <w:rPr>
          <w:rFonts w:asciiTheme="minorHAnsi" w:hAnsiTheme="minorHAnsi" w:cstheme="minorHAnsi"/>
          <w:sz w:val="22"/>
          <w:szCs w:val="22"/>
        </w:rPr>
        <w:t>covered by this rule</w:t>
      </w:r>
      <w:r w:rsidRPr="001D15EE">
        <w:rPr>
          <w:rFonts w:asciiTheme="minorHAnsi" w:hAnsiTheme="minorHAnsi" w:cstheme="minorHAnsi"/>
          <w:sz w:val="22"/>
          <w:szCs w:val="22"/>
        </w:rPr>
        <w:t xml:space="preserve"> are limited. It concerns </w:t>
      </w:r>
      <w:r w:rsidR="002C6210" w:rsidRPr="001D15EE">
        <w:rPr>
          <w:rFonts w:asciiTheme="minorHAnsi" w:hAnsiTheme="minorHAnsi" w:cstheme="minorHAnsi"/>
          <w:sz w:val="22"/>
          <w:szCs w:val="22"/>
        </w:rPr>
        <w:t xml:space="preserve">three categories of </w:t>
      </w:r>
      <w:r w:rsidRPr="001D15EE">
        <w:rPr>
          <w:rFonts w:asciiTheme="minorHAnsi" w:hAnsiTheme="minorHAnsi" w:cstheme="minorHAnsi"/>
          <w:sz w:val="22"/>
          <w:szCs w:val="22"/>
        </w:rPr>
        <w:t>provisions</w:t>
      </w:r>
      <w:r w:rsidR="002C6210" w:rsidRPr="001D15EE">
        <w:rPr>
          <w:rFonts w:asciiTheme="minorHAnsi" w:hAnsiTheme="minorHAnsi" w:cstheme="minorHAnsi"/>
          <w:sz w:val="22"/>
          <w:szCs w:val="22"/>
        </w:rPr>
        <w:t>. The first category relates</w:t>
      </w:r>
      <w:r w:rsidRPr="001D15EE">
        <w:rPr>
          <w:rFonts w:asciiTheme="minorHAnsi" w:hAnsiTheme="minorHAnsi" w:cstheme="minorHAnsi"/>
          <w:sz w:val="22"/>
          <w:szCs w:val="22"/>
        </w:rPr>
        <w:t xml:space="preserve"> to access to the court</w:t>
      </w:r>
      <w:r w:rsidR="002C6210" w:rsidRPr="001D15EE">
        <w:rPr>
          <w:rFonts w:asciiTheme="minorHAnsi" w:hAnsiTheme="minorHAnsi" w:cstheme="minorHAnsi"/>
          <w:sz w:val="22"/>
          <w:szCs w:val="22"/>
        </w:rPr>
        <w:t xml:space="preserve">, which includes admissibility criteria and standing. The second category concerns the hard outer limits of administrative competence: is an administrative body competent to take the decision involved. The third category regards </w:t>
      </w:r>
      <w:r w:rsidRPr="001D15EE">
        <w:rPr>
          <w:rFonts w:asciiTheme="minorHAnsi" w:hAnsiTheme="minorHAnsi" w:cstheme="minorHAnsi"/>
          <w:sz w:val="22"/>
          <w:szCs w:val="22"/>
        </w:rPr>
        <w:t>rules on fair proceedings.</w:t>
      </w:r>
      <w:r w:rsidRPr="001D15EE">
        <w:rPr>
          <w:rStyle w:val="FootnoteReference"/>
          <w:rFonts w:asciiTheme="minorHAnsi" w:hAnsiTheme="minorHAnsi" w:cstheme="minorHAnsi"/>
          <w:sz w:val="22"/>
          <w:szCs w:val="22"/>
        </w:rPr>
        <w:footnoteReference w:id="14"/>
      </w:r>
      <w:r w:rsidRPr="001D15EE">
        <w:rPr>
          <w:rFonts w:asciiTheme="minorHAnsi" w:hAnsiTheme="minorHAnsi" w:cstheme="minorHAnsi"/>
          <w:sz w:val="22"/>
          <w:szCs w:val="22"/>
        </w:rPr>
        <w:t xml:space="preserve"> </w:t>
      </w:r>
      <w:r w:rsidR="002C6210" w:rsidRPr="001D15EE">
        <w:rPr>
          <w:rFonts w:asciiTheme="minorHAnsi" w:hAnsiTheme="minorHAnsi" w:cstheme="minorHAnsi"/>
          <w:sz w:val="22"/>
          <w:szCs w:val="22"/>
        </w:rPr>
        <w:t>An example is the situation in which the District Court exceeds the 14-day time limit for holding a hearing in a detention case.</w:t>
      </w:r>
      <w:r w:rsidR="002C6210" w:rsidRPr="001D15EE">
        <w:rPr>
          <w:rStyle w:val="FootnoteReference"/>
          <w:rFonts w:asciiTheme="minorHAnsi" w:hAnsiTheme="minorHAnsi" w:cstheme="minorHAnsi"/>
          <w:sz w:val="22"/>
          <w:szCs w:val="22"/>
        </w:rPr>
        <w:footnoteReference w:id="15"/>
      </w:r>
      <w:r w:rsidR="008B7350" w:rsidRPr="001D15EE">
        <w:rPr>
          <w:rFonts w:asciiTheme="minorHAnsi" w:hAnsiTheme="minorHAnsi" w:cstheme="minorHAnsi"/>
          <w:sz w:val="22"/>
          <w:szCs w:val="22"/>
        </w:rPr>
        <w:t xml:space="preserve"> This is a rule, of which the compliance can only be ensured by the court itself. </w:t>
      </w:r>
      <w:r w:rsidR="00CF354A" w:rsidRPr="001D15EE">
        <w:rPr>
          <w:rFonts w:asciiTheme="minorHAnsi" w:hAnsiTheme="minorHAnsi" w:cstheme="minorHAnsi"/>
          <w:sz w:val="22"/>
          <w:szCs w:val="22"/>
        </w:rPr>
        <w:t>Also,</w:t>
      </w:r>
      <w:r w:rsidR="002C6210" w:rsidRPr="001D15EE">
        <w:rPr>
          <w:rFonts w:asciiTheme="minorHAnsi" w:hAnsiTheme="minorHAnsi" w:cstheme="minorHAnsi"/>
          <w:sz w:val="22"/>
          <w:szCs w:val="22"/>
        </w:rPr>
        <w:t xml:space="preserve"> </w:t>
      </w:r>
      <w:r w:rsidR="008B7350" w:rsidRPr="001D15EE">
        <w:rPr>
          <w:rFonts w:asciiTheme="minorHAnsi" w:hAnsiTheme="minorHAnsi" w:cstheme="minorHAnsi"/>
          <w:sz w:val="22"/>
          <w:szCs w:val="22"/>
        </w:rPr>
        <w:t xml:space="preserve">Article 8:69(1) GALA </w:t>
      </w:r>
      <w:r w:rsidRPr="001D15EE">
        <w:rPr>
          <w:rFonts w:asciiTheme="minorHAnsi" w:hAnsiTheme="minorHAnsi" w:cstheme="minorHAnsi"/>
          <w:sz w:val="22"/>
          <w:szCs w:val="22"/>
        </w:rPr>
        <w:t>is</w:t>
      </w:r>
      <w:r w:rsidR="000A05CF" w:rsidRPr="001D15EE">
        <w:rPr>
          <w:rFonts w:asciiTheme="minorHAnsi" w:hAnsiTheme="minorHAnsi" w:cstheme="minorHAnsi"/>
          <w:sz w:val="22"/>
          <w:szCs w:val="22"/>
        </w:rPr>
        <w:t xml:space="preserve"> </w:t>
      </w:r>
      <w:r w:rsidRPr="001D15EE">
        <w:rPr>
          <w:rFonts w:asciiTheme="minorHAnsi" w:hAnsiTheme="minorHAnsi" w:cstheme="minorHAnsi"/>
          <w:sz w:val="22"/>
          <w:szCs w:val="22"/>
        </w:rPr>
        <w:t>considered to be</w:t>
      </w:r>
      <w:r w:rsidR="00D25BDD">
        <w:rPr>
          <w:rFonts w:asciiTheme="minorHAnsi" w:hAnsiTheme="minorHAnsi" w:cstheme="minorHAnsi"/>
          <w:sz w:val="22"/>
          <w:szCs w:val="22"/>
        </w:rPr>
        <w:t xml:space="preserve"> a</w:t>
      </w:r>
      <w:r w:rsidRPr="001D15EE">
        <w:rPr>
          <w:rFonts w:asciiTheme="minorHAnsi" w:hAnsiTheme="minorHAnsi" w:cstheme="minorHAnsi"/>
          <w:sz w:val="22"/>
          <w:szCs w:val="22"/>
        </w:rPr>
        <w:t xml:space="preserve"> </w:t>
      </w:r>
      <w:r w:rsidR="00D25BDD">
        <w:rPr>
          <w:rFonts w:asciiTheme="minorHAnsi" w:hAnsiTheme="minorHAnsi" w:cstheme="minorHAnsi"/>
          <w:sz w:val="22"/>
          <w:szCs w:val="22"/>
        </w:rPr>
        <w:t>‘</w:t>
      </w:r>
      <w:r w:rsidRPr="001D15EE">
        <w:rPr>
          <w:rFonts w:asciiTheme="minorHAnsi" w:hAnsiTheme="minorHAnsi" w:cstheme="minorHAnsi"/>
          <w:sz w:val="22"/>
          <w:szCs w:val="22"/>
        </w:rPr>
        <w:t>public order</w:t>
      </w:r>
      <w:r w:rsidR="00D25BDD">
        <w:rPr>
          <w:rFonts w:asciiTheme="minorHAnsi" w:hAnsiTheme="minorHAnsi" w:cstheme="minorHAnsi"/>
          <w:sz w:val="22"/>
          <w:szCs w:val="22"/>
        </w:rPr>
        <w:t>’ provision</w:t>
      </w:r>
      <w:r w:rsidRPr="001D15EE">
        <w:rPr>
          <w:rFonts w:asciiTheme="minorHAnsi" w:hAnsiTheme="minorHAnsi" w:cstheme="minorHAnsi"/>
          <w:sz w:val="22"/>
          <w:szCs w:val="22"/>
        </w:rPr>
        <w:t xml:space="preserve">. This means that the Council of State rules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whether the </w:t>
      </w:r>
      <w:r w:rsidR="00D25BDD">
        <w:rPr>
          <w:rFonts w:asciiTheme="minorHAnsi" w:hAnsiTheme="minorHAnsi" w:cstheme="minorHAnsi"/>
          <w:sz w:val="22"/>
          <w:szCs w:val="22"/>
        </w:rPr>
        <w:t>D</w:t>
      </w:r>
      <w:r w:rsidRPr="001D15EE">
        <w:rPr>
          <w:rFonts w:asciiTheme="minorHAnsi" w:hAnsiTheme="minorHAnsi" w:cstheme="minorHAnsi"/>
          <w:sz w:val="22"/>
          <w:szCs w:val="22"/>
        </w:rPr>
        <w:t xml:space="preserve">istrict </w:t>
      </w:r>
      <w:r w:rsidR="00D25BDD">
        <w:rPr>
          <w:rFonts w:asciiTheme="minorHAnsi" w:hAnsiTheme="minorHAnsi" w:cstheme="minorHAnsi"/>
          <w:sz w:val="22"/>
          <w:szCs w:val="22"/>
        </w:rPr>
        <w:t>C</w:t>
      </w:r>
      <w:r w:rsidRPr="001D15EE">
        <w:rPr>
          <w:rFonts w:asciiTheme="minorHAnsi" w:hAnsiTheme="minorHAnsi" w:cstheme="minorHAnsi"/>
          <w:sz w:val="22"/>
          <w:szCs w:val="22"/>
        </w:rPr>
        <w:t>ourt has remained within the scope of judicial review defined by that provision.</w:t>
      </w:r>
      <w:r w:rsidRPr="001D15EE">
        <w:rPr>
          <w:rStyle w:val="FootnoteReference"/>
          <w:rFonts w:asciiTheme="minorHAnsi" w:hAnsiTheme="minorHAnsi" w:cstheme="minorHAnsi"/>
          <w:sz w:val="22"/>
          <w:szCs w:val="22"/>
        </w:rPr>
        <w:footnoteReference w:id="16"/>
      </w:r>
      <w:r w:rsidR="000A05CF" w:rsidRPr="001D15EE">
        <w:rPr>
          <w:rFonts w:asciiTheme="minorHAnsi" w:hAnsiTheme="minorHAnsi" w:cstheme="minorHAnsi"/>
          <w:sz w:val="22"/>
          <w:szCs w:val="22"/>
        </w:rPr>
        <w:t xml:space="preserve"> </w:t>
      </w:r>
    </w:p>
    <w:p w14:paraId="6AD28107" w14:textId="71494A44" w:rsidR="003B0486" w:rsidRPr="001D15EE" w:rsidRDefault="000A05CF" w:rsidP="007F72D6">
      <w:pPr>
        <w:spacing w:line="276" w:lineRule="auto"/>
        <w:ind w:firstLine="708"/>
        <w:jc w:val="both"/>
        <w:rPr>
          <w:rFonts w:asciiTheme="minorHAnsi" w:hAnsiTheme="minorHAnsi" w:cstheme="minorHAnsi"/>
          <w:sz w:val="22"/>
          <w:szCs w:val="22"/>
        </w:rPr>
      </w:pPr>
      <w:r w:rsidRPr="001D15EE">
        <w:rPr>
          <w:rFonts w:asciiTheme="minorHAnsi" w:hAnsiTheme="minorHAnsi" w:cstheme="minorHAnsi"/>
          <w:sz w:val="22"/>
          <w:szCs w:val="22"/>
        </w:rPr>
        <w:t>The court is not authoris</w:t>
      </w:r>
      <w:r w:rsidR="003B0486" w:rsidRPr="001D15EE">
        <w:rPr>
          <w:rFonts w:asciiTheme="minorHAnsi" w:hAnsiTheme="minorHAnsi" w:cstheme="minorHAnsi"/>
          <w:sz w:val="22"/>
          <w:szCs w:val="22"/>
        </w:rPr>
        <w:t xml:space="preserve">ed to test a decision </w:t>
      </w:r>
      <w:r w:rsidR="003B0486" w:rsidRPr="001D15EE">
        <w:rPr>
          <w:rFonts w:asciiTheme="minorHAnsi" w:hAnsiTheme="minorHAnsi" w:cstheme="minorHAnsi"/>
          <w:i/>
          <w:sz w:val="22"/>
          <w:szCs w:val="22"/>
        </w:rPr>
        <w:t>ex officio</w:t>
      </w:r>
      <w:r w:rsidR="003B0486" w:rsidRPr="001D15EE">
        <w:rPr>
          <w:rFonts w:asciiTheme="minorHAnsi" w:hAnsiTheme="minorHAnsi" w:cstheme="minorHAnsi"/>
          <w:sz w:val="22"/>
          <w:szCs w:val="22"/>
        </w:rPr>
        <w:t xml:space="preserve"> against directly applicable provisions of EU</w:t>
      </w:r>
      <w:r w:rsidR="00D25BDD">
        <w:rPr>
          <w:rFonts w:asciiTheme="minorHAnsi" w:hAnsiTheme="minorHAnsi" w:cstheme="minorHAnsi"/>
          <w:sz w:val="22"/>
          <w:szCs w:val="22"/>
        </w:rPr>
        <w:t xml:space="preserve"> law</w:t>
      </w:r>
      <w:r w:rsidR="003B0486" w:rsidRPr="001D15EE">
        <w:rPr>
          <w:rFonts w:asciiTheme="minorHAnsi" w:hAnsiTheme="minorHAnsi" w:cstheme="minorHAnsi"/>
          <w:sz w:val="22"/>
          <w:szCs w:val="22"/>
        </w:rPr>
        <w:t>, unless they are considered to be of ‘public order’. The Council of State does not consider the provisions of the Return Directive concerning detention to be of ‘public order’.</w:t>
      </w:r>
      <w:r w:rsidR="003B0486" w:rsidRPr="001D15EE">
        <w:rPr>
          <w:rStyle w:val="FootnoteReference"/>
          <w:rFonts w:asciiTheme="minorHAnsi" w:hAnsiTheme="minorHAnsi" w:cstheme="minorHAnsi"/>
          <w:sz w:val="22"/>
          <w:szCs w:val="22"/>
        </w:rPr>
        <w:footnoteReference w:id="17"/>
      </w:r>
      <w:r w:rsidR="008B7350" w:rsidRPr="001D15EE">
        <w:rPr>
          <w:rFonts w:asciiTheme="minorHAnsi" w:hAnsiTheme="minorHAnsi" w:cstheme="minorHAnsi"/>
          <w:sz w:val="22"/>
          <w:szCs w:val="22"/>
        </w:rPr>
        <w:t xml:space="preserve"> The Council of State has ruled that the District Court cannot rule </w:t>
      </w:r>
      <w:r w:rsidR="008B7350" w:rsidRPr="001D15EE">
        <w:rPr>
          <w:rFonts w:asciiTheme="minorHAnsi" w:hAnsiTheme="minorHAnsi" w:cstheme="minorHAnsi"/>
          <w:i/>
          <w:sz w:val="22"/>
          <w:szCs w:val="22"/>
        </w:rPr>
        <w:t>ex offi</w:t>
      </w:r>
      <w:r w:rsidR="00790B20">
        <w:rPr>
          <w:rFonts w:asciiTheme="minorHAnsi" w:hAnsiTheme="minorHAnsi" w:cstheme="minorHAnsi"/>
          <w:i/>
          <w:sz w:val="22"/>
          <w:szCs w:val="22"/>
        </w:rPr>
        <w:t>ci</w:t>
      </w:r>
      <w:r w:rsidR="008B7350" w:rsidRPr="001D15EE">
        <w:rPr>
          <w:rFonts w:asciiTheme="minorHAnsi" w:hAnsiTheme="minorHAnsi" w:cstheme="minorHAnsi"/>
          <w:i/>
          <w:sz w:val="22"/>
          <w:szCs w:val="22"/>
        </w:rPr>
        <w:t xml:space="preserve">o </w:t>
      </w:r>
      <w:r w:rsidR="008B7350" w:rsidRPr="001D15EE">
        <w:rPr>
          <w:rFonts w:asciiTheme="minorHAnsi" w:hAnsiTheme="minorHAnsi" w:cstheme="minorHAnsi"/>
          <w:sz w:val="22"/>
          <w:szCs w:val="22"/>
        </w:rPr>
        <w:t xml:space="preserve">that the maximum duration of the </w:t>
      </w:r>
      <w:r w:rsidR="00061C35" w:rsidRPr="001D15EE">
        <w:rPr>
          <w:rFonts w:asciiTheme="minorHAnsi" w:hAnsiTheme="minorHAnsi" w:cstheme="minorHAnsi"/>
          <w:sz w:val="22"/>
          <w:szCs w:val="22"/>
        </w:rPr>
        <w:t xml:space="preserve">custody </w:t>
      </w:r>
      <w:r w:rsidR="008B7350" w:rsidRPr="001D15EE">
        <w:rPr>
          <w:rFonts w:asciiTheme="minorHAnsi" w:hAnsiTheme="minorHAnsi" w:cstheme="minorHAnsi"/>
          <w:sz w:val="22"/>
          <w:szCs w:val="22"/>
        </w:rPr>
        <w:t>before t</w:t>
      </w:r>
      <w:r w:rsidR="00061C35" w:rsidRPr="001D15EE">
        <w:rPr>
          <w:rFonts w:asciiTheme="minorHAnsi" w:hAnsiTheme="minorHAnsi" w:cstheme="minorHAnsi"/>
          <w:sz w:val="22"/>
          <w:szCs w:val="22"/>
        </w:rPr>
        <w:t>he detention measure was imposed</w:t>
      </w:r>
      <w:r w:rsidR="008B7350" w:rsidRPr="001D15EE">
        <w:rPr>
          <w:rStyle w:val="FootnoteReference"/>
          <w:rFonts w:asciiTheme="minorHAnsi" w:hAnsiTheme="minorHAnsi" w:cstheme="minorHAnsi"/>
          <w:sz w:val="22"/>
          <w:szCs w:val="22"/>
        </w:rPr>
        <w:footnoteReference w:id="18"/>
      </w:r>
      <w:r w:rsidR="008B7350" w:rsidRPr="001D15EE">
        <w:rPr>
          <w:rFonts w:asciiTheme="minorHAnsi" w:hAnsiTheme="minorHAnsi" w:cstheme="minorHAnsi"/>
          <w:sz w:val="22"/>
          <w:szCs w:val="22"/>
        </w:rPr>
        <w:t xml:space="preserve"> or the detention measure (six months)</w:t>
      </w:r>
      <w:r w:rsidR="008B21CB" w:rsidRPr="001D15EE">
        <w:rPr>
          <w:rStyle w:val="FootnoteReference"/>
          <w:rFonts w:asciiTheme="minorHAnsi" w:hAnsiTheme="minorHAnsi" w:cstheme="minorHAnsi"/>
          <w:sz w:val="22"/>
          <w:szCs w:val="22"/>
        </w:rPr>
        <w:t xml:space="preserve"> </w:t>
      </w:r>
      <w:r w:rsidR="008B21CB" w:rsidRPr="001D15EE">
        <w:rPr>
          <w:rStyle w:val="FootnoteReference"/>
          <w:rFonts w:asciiTheme="minorHAnsi" w:hAnsiTheme="minorHAnsi" w:cstheme="minorHAnsi"/>
          <w:sz w:val="22"/>
          <w:szCs w:val="22"/>
        </w:rPr>
        <w:footnoteReference w:id="19"/>
      </w:r>
      <w:r w:rsidR="008B7350" w:rsidRPr="001D15EE">
        <w:rPr>
          <w:rFonts w:asciiTheme="minorHAnsi" w:hAnsiTheme="minorHAnsi" w:cstheme="minorHAnsi"/>
          <w:sz w:val="22"/>
          <w:szCs w:val="22"/>
        </w:rPr>
        <w:t xml:space="preserve"> has been exceeded, because the relevant provisions are not considered to be of ‘public order’. </w:t>
      </w:r>
    </w:p>
    <w:p w14:paraId="565BD28F" w14:textId="77777777" w:rsidR="002C6210" w:rsidRPr="001D15EE" w:rsidRDefault="002C6210" w:rsidP="007F72D6">
      <w:pPr>
        <w:spacing w:line="276" w:lineRule="auto"/>
        <w:jc w:val="both"/>
        <w:rPr>
          <w:rFonts w:asciiTheme="minorHAnsi" w:hAnsiTheme="minorHAnsi" w:cstheme="minorHAnsi"/>
          <w:sz w:val="22"/>
          <w:szCs w:val="22"/>
        </w:rPr>
      </w:pPr>
    </w:p>
    <w:p w14:paraId="75CC1CFB" w14:textId="77777777" w:rsidR="0055174A" w:rsidRDefault="0055174A">
      <w:pPr>
        <w:rPr>
          <w:rFonts w:asciiTheme="minorHAnsi" w:hAnsiTheme="minorHAnsi" w:cstheme="minorHAnsi"/>
          <w:i/>
          <w:sz w:val="22"/>
          <w:szCs w:val="22"/>
        </w:rPr>
      </w:pPr>
      <w:r>
        <w:rPr>
          <w:rFonts w:asciiTheme="minorHAnsi" w:hAnsiTheme="minorHAnsi" w:cstheme="minorHAnsi"/>
          <w:i/>
          <w:sz w:val="22"/>
          <w:szCs w:val="22"/>
        </w:rPr>
        <w:br w:type="page"/>
      </w:r>
    </w:p>
    <w:p w14:paraId="27B6A62A" w14:textId="7007C98D" w:rsidR="002C6210" w:rsidRPr="001D15EE" w:rsidRDefault="002C6210" w:rsidP="007F72D6">
      <w:pPr>
        <w:spacing w:line="276" w:lineRule="auto"/>
        <w:jc w:val="both"/>
        <w:rPr>
          <w:rFonts w:asciiTheme="minorHAnsi" w:hAnsiTheme="minorHAnsi" w:cstheme="minorHAnsi"/>
          <w:i/>
          <w:sz w:val="22"/>
          <w:szCs w:val="22"/>
        </w:rPr>
      </w:pPr>
      <w:r w:rsidRPr="001D15EE">
        <w:rPr>
          <w:rFonts w:asciiTheme="minorHAnsi" w:hAnsiTheme="minorHAnsi" w:cstheme="minorHAnsi"/>
          <w:i/>
          <w:sz w:val="22"/>
          <w:szCs w:val="22"/>
        </w:rPr>
        <w:lastRenderedPageBreak/>
        <w:t>3. Supplementing the factual elements</w:t>
      </w:r>
    </w:p>
    <w:p w14:paraId="28ACCA94" w14:textId="7B529E64"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Finally, the third paragraph of Article 8:69 GALA gives the judge a discretionary power to supplement the factual elements of a case. This power should remain within the limits set by Article 8:69(1) GALA. </w:t>
      </w:r>
    </w:p>
    <w:p w14:paraId="4915873E" w14:textId="77777777" w:rsidR="002C6210" w:rsidRPr="001D15EE" w:rsidRDefault="002C6210" w:rsidP="007F72D6">
      <w:pPr>
        <w:spacing w:line="276" w:lineRule="auto"/>
        <w:jc w:val="both"/>
        <w:rPr>
          <w:rFonts w:asciiTheme="minorHAnsi" w:hAnsiTheme="minorHAnsi" w:cstheme="minorHAnsi"/>
          <w:sz w:val="22"/>
          <w:szCs w:val="22"/>
        </w:rPr>
      </w:pPr>
    </w:p>
    <w:p w14:paraId="7B6BEB07" w14:textId="52888F46" w:rsidR="002C6210" w:rsidRPr="001D15EE" w:rsidRDefault="00D84FCA" w:rsidP="007F72D6">
      <w:pPr>
        <w:spacing w:line="276" w:lineRule="auto"/>
        <w:jc w:val="both"/>
        <w:rPr>
          <w:rFonts w:asciiTheme="minorHAnsi" w:hAnsiTheme="minorHAnsi" w:cstheme="minorHAnsi"/>
          <w:i/>
          <w:sz w:val="22"/>
          <w:szCs w:val="22"/>
        </w:rPr>
      </w:pPr>
      <w:r>
        <w:rPr>
          <w:rFonts w:asciiTheme="minorHAnsi" w:hAnsiTheme="minorHAnsi" w:cstheme="minorHAnsi"/>
          <w:i/>
          <w:sz w:val="22"/>
          <w:szCs w:val="22"/>
        </w:rPr>
        <w:t>P</w:t>
      </w:r>
      <w:r w:rsidR="002C6210" w:rsidRPr="001D15EE">
        <w:rPr>
          <w:rFonts w:asciiTheme="minorHAnsi" w:hAnsiTheme="minorHAnsi" w:cstheme="minorHAnsi"/>
          <w:i/>
          <w:sz w:val="22"/>
          <w:szCs w:val="22"/>
        </w:rPr>
        <w:t>rohibition</w:t>
      </w:r>
      <w:r>
        <w:rPr>
          <w:rFonts w:asciiTheme="minorHAnsi" w:hAnsiTheme="minorHAnsi" w:cstheme="minorHAnsi"/>
          <w:i/>
          <w:sz w:val="22"/>
          <w:szCs w:val="22"/>
        </w:rPr>
        <w:t xml:space="preserve"> of ex officio review</w:t>
      </w:r>
    </w:p>
    <w:p w14:paraId="07E44BF0" w14:textId="1D485150"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It follows from the case law of the Council of State that Article 8:69</w:t>
      </w:r>
      <w:r w:rsidR="00D25BDD">
        <w:rPr>
          <w:rFonts w:asciiTheme="minorHAnsi" w:hAnsiTheme="minorHAnsi" w:cstheme="minorHAnsi"/>
          <w:sz w:val="22"/>
          <w:szCs w:val="22"/>
        </w:rPr>
        <w:t xml:space="preserve"> GALA</w:t>
      </w:r>
      <w:r w:rsidRPr="001D15EE">
        <w:rPr>
          <w:rFonts w:asciiTheme="minorHAnsi" w:hAnsiTheme="minorHAnsi" w:cstheme="minorHAnsi"/>
          <w:sz w:val="22"/>
          <w:szCs w:val="22"/>
        </w:rPr>
        <w:t xml:space="preserve"> is interpreted as a</w:t>
      </w:r>
      <w:r w:rsidR="00D84FCA">
        <w:rPr>
          <w:rFonts w:asciiTheme="minorHAnsi" w:hAnsiTheme="minorHAnsi" w:cstheme="minorHAnsi"/>
          <w:sz w:val="22"/>
          <w:szCs w:val="22"/>
        </w:rPr>
        <w:t xml:space="preserve"> </w:t>
      </w:r>
      <w:r w:rsidRPr="001D15EE">
        <w:rPr>
          <w:rFonts w:asciiTheme="minorHAnsi" w:hAnsiTheme="minorHAnsi" w:cstheme="minorHAnsi"/>
          <w:sz w:val="22"/>
          <w:szCs w:val="22"/>
        </w:rPr>
        <w:t xml:space="preserve">prohibition of </w:t>
      </w:r>
      <w:r w:rsidRPr="00D25BDD">
        <w:rPr>
          <w:rFonts w:asciiTheme="minorHAnsi" w:hAnsiTheme="minorHAnsi" w:cstheme="minorHAnsi"/>
          <w:i/>
          <w:iCs/>
          <w:sz w:val="22"/>
          <w:szCs w:val="22"/>
        </w:rPr>
        <w:t>ex</w:t>
      </w:r>
      <w:r w:rsidR="00D25BDD" w:rsidRPr="00D25BDD">
        <w:rPr>
          <w:rFonts w:asciiTheme="minorHAnsi" w:hAnsiTheme="minorHAnsi" w:cstheme="minorHAnsi"/>
          <w:i/>
          <w:iCs/>
          <w:sz w:val="22"/>
          <w:szCs w:val="22"/>
        </w:rPr>
        <w:t xml:space="preserve"> </w:t>
      </w:r>
      <w:r w:rsidRPr="00D25BDD">
        <w:rPr>
          <w:rFonts w:asciiTheme="minorHAnsi" w:hAnsiTheme="minorHAnsi" w:cstheme="minorHAnsi"/>
          <w:i/>
          <w:iCs/>
          <w:sz w:val="22"/>
          <w:szCs w:val="22"/>
        </w:rPr>
        <w:t>officio</w:t>
      </w:r>
      <w:r w:rsidRPr="001D15EE">
        <w:rPr>
          <w:rFonts w:asciiTheme="minorHAnsi" w:hAnsiTheme="minorHAnsi" w:cstheme="minorHAnsi"/>
          <w:sz w:val="22"/>
          <w:szCs w:val="22"/>
        </w:rPr>
        <w:t xml:space="preserve"> judicial review in case</w:t>
      </w:r>
      <w:r w:rsidR="007F72D6">
        <w:rPr>
          <w:rFonts w:asciiTheme="minorHAnsi" w:hAnsiTheme="minorHAnsi" w:cstheme="minorHAnsi"/>
          <w:sz w:val="22"/>
          <w:szCs w:val="22"/>
        </w:rPr>
        <w:t xml:space="preserve">s, </w:t>
      </w:r>
      <w:r w:rsidRPr="001D15EE">
        <w:rPr>
          <w:rFonts w:asciiTheme="minorHAnsi" w:hAnsiTheme="minorHAnsi" w:cstheme="minorHAnsi"/>
          <w:sz w:val="22"/>
          <w:szCs w:val="22"/>
        </w:rPr>
        <w:t>which do not fall within the three situations mentioned above.</w:t>
      </w:r>
      <w:r w:rsidRPr="001D15EE">
        <w:rPr>
          <w:rStyle w:val="FootnoteReference"/>
          <w:rFonts w:asciiTheme="minorHAnsi" w:hAnsiTheme="minorHAnsi" w:cstheme="minorHAnsi"/>
          <w:sz w:val="22"/>
          <w:szCs w:val="22"/>
        </w:rPr>
        <w:footnoteReference w:id="20"/>
      </w:r>
      <w:r w:rsidRPr="001D15EE">
        <w:rPr>
          <w:rFonts w:asciiTheme="minorHAnsi" w:hAnsiTheme="minorHAnsi" w:cstheme="minorHAnsi"/>
          <w:sz w:val="22"/>
          <w:szCs w:val="22"/>
        </w:rPr>
        <w:t xml:space="preserve"> Over the years, this interpretation has been perceived by the lower courts as restrictive, especially in situations concerning deprivations of liberty. The case law from the lower courts suggests that an </w:t>
      </w:r>
      <w:r w:rsidRPr="00D25BDD">
        <w:rPr>
          <w:rFonts w:asciiTheme="minorHAnsi" w:hAnsiTheme="minorHAnsi" w:cstheme="minorHAnsi"/>
          <w:i/>
          <w:iCs/>
          <w:sz w:val="22"/>
          <w:szCs w:val="22"/>
        </w:rPr>
        <w:t>ex</w:t>
      </w:r>
      <w:r w:rsidR="00D25BDD" w:rsidRPr="00D25BDD">
        <w:rPr>
          <w:rFonts w:asciiTheme="minorHAnsi" w:hAnsiTheme="minorHAnsi" w:cstheme="minorHAnsi"/>
          <w:i/>
          <w:iCs/>
          <w:sz w:val="22"/>
          <w:szCs w:val="22"/>
        </w:rPr>
        <w:t xml:space="preserve"> </w:t>
      </w:r>
      <w:r w:rsidRPr="00D25BDD">
        <w:rPr>
          <w:rFonts w:asciiTheme="minorHAnsi" w:hAnsiTheme="minorHAnsi" w:cstheme="minorHAnsi"/>
          <w:i/>
          <w:iCs/>
          <w:sz w:val="22"/>
          <w:szCs w:val="22"/>
        </w:rPr>
        <w:t>officio</w:t>
      </w:r>
      <w:r w:rsidRPr="001D15EE">
        <w:rPr>
          <w:rFonts w:asciiTheme="minorHAnsi" w:hAnsiTheme="minorHAnsi" w:cstheme="minorHAnsi"/>
          <w:sz w:val="22"/>
          <w:szCs w:val="22"/>
        </w:rPr>
        <w:t xml:space="preserve"> review </w:t>
      </w:r>
      <w:r w:rsidR="00FF781D">
        <w:rPr>
          <w:rFonts w:asciiTheme="minorHAnsi" w:hAnsiTheme="minorHAnsi" w:cstheme="minorHAnsi"/>
          <w:sz w:val="22"/>
          <w:szCs w:val="22"/>
        </w:rPr>
        <w:t xml:space="preserve">is </w:t>
      </w:r>
      <w:r w:rsidRPr="001D15EE">
        <w:rPr>
          <w:rFonts w:asciiTheme="minorHAnsi" w:hAnsiTheme="minorHAnsi" w:cstheme="minorHAnsi"/>
          <w:sz w:val="22"/>
          <w:szCs w:val="22"/>
        </w:rPr>
        <w:t>often</w:t>
      </w:r>
      <w:r w:rsidR="00FF781D">
        <w:rPr>
          <w:rFonts w:asciiTheme="minorHAnsi" w:hAnsiTheme="minorHAnsi" w:cstheme="minorHAnsi"/>
          <w:sz w:val="22"/>
          <w:szCs w:val="22"/>
        </w:rPr>
        <w:t xml:space="preserve"> the only way </w:t>
      </w:r>
      <w:r w:rsidRPr="001D15EE">
        <w:rPr>
          <w:rFonts w:asciiTheme="minorHAnsi" w:hAnsiTheme="minorHAnsi" w:cstheme="minorHAnsi"/>
          <w:sz w:val="22"/>
          <w:szCs w:val="22"/>
        </w:rPr>
        <w:t>to guarantee an effective legal protection.</w:t>
      </w:r>
      <w:r w:rsidRPr="001D15EE">
        <w:rPr>
          <w:rStyle w:val="FootnoteReference"/>
          <w:rFonts w:asciiTheme="minorHAnsi" w:hAnsiTheme="minorHAnsi" w:cstheme="minorHAnsi"/>
          <w:sz w:val="22"/>
          <w:szCs w:val="22"/>
        </w:rPr>
        <w:footnoteReference w:id="21"/>
      </w:r>
      <w:r w:rsidRPr="001D15EE">
        <w:rPr>
          <w:rFonts w:asciiTheme="minorHAnsi" w:hAnsiTheme="minorHAnsi" w:cstheme="minorHAnsi"/>
          <w:sz w:val="22"/>
          <w:szCs w:val="22"/>
        </w:rPr>
        <w:t xml:space="preserve"> As a result of this prohibition, lower courts are </w:t>
      </w:r>
      <w:r w:rsidR="00D25BDD">
        <w:rPr>
          <w:rFonts w:asciiTheme="minorHAnsi" w:hAnsiTheme="minorHAnsi" w:cstheme="minorHAnsi"/>
          <w:sz w:val="22"/>
          <w:szCs w:val="22"/>
        </w:rPr>
        <w:t>present</w:t>
      </w:r>
      <w:r w:rsidRPr="001D15EE">
        <w:rPr>
          <w:rFonts w:asciiTheme="minorHAnsi" w:hAnsiTheme="minorHAnsi" w:cstheme="minorHAnsi"/>
          <w:sz w:val="22"/>
          <w:szCs w:val="22"/>
        </w:rPr>
        <w:t xml:space="preserve">ed with </w:t>
      </w:r>
      <w:r w:rsidR="00D25BDD">
        <w:rPr>
          <w:rFonts w:asciiTheme="minorHAnsi" w:hAnsiTheme="minorHAnsi" w:cstheme="minorHAnsi"/>
          <w:sz w:val="22"/>
          <w:szCs w:val="22"/>
        </w:rPr>
        <w:t>the</w:t>
      </w:r>
      <w:r w:rsidRPr="001D15EE">
        <w:rPr>
          <w:rFonts w:asciiTheme="minorHAnsi" w:hAnsiTheme="minorHAnsi" w:cstheme="minorHAnsi"/>
          <w:sz w:val="22"/>
          <w:szCs w:val="22"/>
        </w:rPr>
        <w:t xml:space="preserve"> question of whether to act contrary to national law and </w:t>
      </w:r>
      <w:r w:rsidR="00D25BDD">
        <w:rPr>
          <w:rFonts w:asciiTheme="minorHAnsi" w:hAnsiTheme="minorHAnsi" w:cstheme="minorHAnsi"/>
          <w:sz w:val="22"/>
          <w:szCs w:val="22"/>
        </w:rPr>
        <w:t>conduct</w:t>
      </w:r>
      <w:r w:rsidRPr="001D15EE">
        <w:rPr>
          <w:rFonts w:asciiTheme="minorHAnsi" w:hAnsiTheme="minorHAnsi" w:cstheme="minorHAnsi"/>
          <w:sz w:val="22"/>
          <w:szCs w:val="22"/>
        </w:rPr>
        <w:t xml:space="preserve"> an </w:t>
      </w:r>
      <w:r w:rsidRPr="00D25BDD">
        <w:rPr>
          <w:rFonts w:asciiTheme="minorHAnsi" w:hAnsiTheme="minorHAnsi" w:cstheme="minorHAnsi"/>
          <w:i/>
          <w:iCs/>
          <w:sz w:val="22"/>
          <w:szCs w:val="22"/>
        </w:rPr>
        <w:t>ex</w:t>
      </w:r>
      <w:r w:rsidR="00D25BDD" w:rsidRPr="00D25BDD">
        <w:rPr>
          <w:rFonts w:asciiTheme="minorHAnsi" w:hAnsiTheme="minorHAnsi" w:cstheme="minorHAnsi"/>
          <w:i/>
          <w:iCs/>
          <w:sz w:val="22"/>
          <w:szCs w:val="22"/>
        </w:rPr>
        <w:t xml:space="preserve"> </w:t>
      </w:r>
      <w:r w:rsidRPr="00D25BDD">
        <w:rPr>
          <w:rFonts w:asciiTheme="minorHAnsi" w:hAnsiTheme="minorHAnsi" w:cstheme="minorHAnsi"/>
          <w:i/>
          <w:iCs/>
          <w:sz w:val="22"/>
          <w:szCs w:val="22"/>
        </w:rPr>
        <w:t>officio</w:t>
      </w:r>
      <w:r w:rsidRPr="001D15EE">
        <w:rPr>
          <w:rFonts w:asciiTheme="minorHAnsi" w:hAnsiTheme="minorHAnsi" w:cstheme="minorHAnsi"/>
          <w:sz w:val="22"/>
          <w:szCs w:val="22"/>
        </w:rPr>
        <w:t xml:space="preserve"> review in order to release a detainee from an unlawful detention or to uphold a (clearly) unlawful detention and respect the prohibition</w:t>
      </w:r>
      <w:r w:rsidR="00D84FCA">
        <w:rPr>
          <w:rFonts w:asciiTheme="minorHAnsi" w:hAnsiTheme="minorHAnsi" w:cstheme="minorHAnsi"/>
          <w:sz w:val="22"/>
          <w:szCs w:val="22"/>
        </w:rPr>
        <w:t xml:space="preserve"> of </w:t>
      </w:r>
      <w:r w:rsidR="00D84FCA" w:rsidRPr="00D84FCA">
        <w:rPr>
          <w:rFonts w:asciiTheme="minorHAnsi" w:hAnsiTheme="minorHAnsi" w:cstheme="minorHAnsi"/>
          <w:i/>
          <w:iCs/>
          <w:sz w:val="22"/>
          <w:szCs w:val="22"/>
        </w:rPr>
        <w:t>ex officio</w:t>
      </w:r>
      <w:r w:rsidR="00D84FCA" w:rsidRPr="001D15EE">
        <w:rPr>
          <w:rFonts w:asciiTheme="minorHAnsi" w:hAnsiTheme="minorHAnsi" w:cstheme="minorHAnsi"/>
          <w:sz w:val="22"/>
          <w:szCs w:val="22"/>
        </w:rPr>
        <w:t xml:space="preserve"> review</w:t>
      </w:r>
      <w:r w:rsidRPr="001D15EE">
        <w:rPr>
          <w:rFonts w:asciiTheme="minorHAnsi" w:hAnsiTheme="minorHAnsi" w:cstheme="minorHAnsi"/>
          <w:sz w:val="22"/>
          <w:szCs w:val="22"/>
        </w:rPr>
        <w:t xml:space="preserve">. </w:t>
      </w:r>
    </w:p>
    <w:p w14:paraId="5C41E431" w14:textId="23B31801" w:rsidR="003B0486" w:rsidRPr="001D15EE" w:rsidRDefault="003B0486" w:rsidP="007F72D6">
      <w:pPr>
        <w:spacing w:line="276" w:lineRule="auto"/>
        <w:ind w:firstLine="708"/>
        <w:jc w:val="both"/>
        <w:rPr>
          <w:rFonts w:asciiTheme="minorHAnsi" w:hAnsiTheme="minorHAnsi" w:cstheme="minorHAnsi"/>
          <w:sz w:val="22"/>
          <w:szCs w:val="22"/>
        </w:rPr>
      </w:pPr>
      <w:r w:rsidRPr="001D15EE">
        <w:rPr>
          <w:rFonts w:asciiTheme="minorHAnsi" w:hAnsiTheme="minorHAnsi" w:cstheme="minorHAnsi"/>
          <w:sz w:val="22"/>
          <w:szCs w:val="22"/>
        </w:rPr>
        <w:t>The next section will demonstrate how such situations have been a common dilemma among lower courts in the Netherlands and how the lack of flexibility ha</w:t>
      </w:r>
      <w:r w:rsidR="00373A0A" w:rsidRPr="001D15EE">
        <w:rPr>
          <w:rFonts w:asciiTheme="minorHAnsi" w:hAnsiTheme="minorHAnsi" w:cstheme="minorHAnsi"/>
          <w:sz w:val="22"/>
          <w:szCs w:val="22"/>
        </w:rPr>
        <w:t>s</w:t>
      </w:r>
      <w:r w:rsidRPr="001D15EE">
        <w:rPr>
          <w:rFonts w:asciiTheme="minorHAnsi" w:hAnsiTheme="minorHAnsi" w:cstheme="minorHAnsi"/>
          <w:sz w:val="22"/>
          <w:szCs w:val="22"/>
        </w:rPr>
        <w:t xml:space="preserve"> contributed to </w:t>
      </w:r>
      <w:r w:rsidR="00FF781D">
        <w:rPr>
          <w:rFonts w:asciiTheme="minorHAnsi" w:hAnsiTheme="minorHAnsi" w:cstheme="minorHAnsi"/>
          <w:sz w:val="22"/>
          <w:szCs w:val="22"/>
        </w:rPr>
        <w:t xml:space="preserve">divergence in </w:t>
      </w:r>
      <w:r w:rsidRPr="001D15EE">
        <w:rPr>
          <w:rFonts w:asciiTheme="minorHAnsi" w:hAnsiTheme="minorHAnsi" w:cstheme="minorHAnsi"/>
          <w:sz w:val="22"/>
          <w:szCs w:val="22"/>
        </w:rPr>
        <w:t xml:space="preserve">interpretations of national law and the obligations stemming from the </w:t>
      </w:r>
      <w:r w:rsidR="00FF781D">
        <w:rPr>
          <w:rFonts w:asciiTheme="minorHAnsi" w:hAnsiTheme="minorHAnsi" w:cstheme="minorHAnsi"/>
          <w:sz w:val="22"/>
          <w:szCs w:val="22"/>
        </w:rPr>
        <w:t xml:space="preserve">EU </w:t>
      </w:r>
      <w:r w:rsidRPr="001D15EE">
        <w:rPr>
          <w:rFonts w:asciiTheme="minorHAnsi" w:hAnsiTheme="minorHAnsi" w:cstheme="minorHAnsi"/>
          <w:sz w:val="22"/>
          <w:szCs w:val="22"/>
        </w:rPr>
        <w:t xml:space="preserve">law. By describing specific examples from Dutch case law, we aim to demonstrate the impact of the prohibition of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of detention measure based on the Return Directive in practice. We will first illustrate how lower court</w:t>
      </w:r>
      <w:r w:rsidR="00373A0A" w:rsidRPr="001D15EE">
        <w:rPr>
          <w:rFonts w:asciiTheme="minorHAnsi" w:hAnsiTheme="minorHAnsi" w:cstheme="minorHAnsi"/>
          <w:sz w:val="22"/>
          <w:szCs w:val="22"/>
        </w:rPr>
        <w:t>s</w:t>
      </w:r>
      <w:r w:rsidRPr="001D15EE">
        <w:rPr>
          <w:rFonts w:asciiTheme="minorHAnsi" w:hAnsiTheme="minorHAnsi" w:cstheme="minorHAnsi"/>
          <w:sz w:val="22"/>
          <w:szCs w:val="22"/>
        </w:rPr>
        <w:t xml:space="preserve"> (consciously) refrain from an </w:t>
      </w:r>
      <w:r w:rsidRPr="00FF781D">
        <w:rPr>
          <w:rFonts w:asciiTheme="minorHAnsi" w:hAnsiTheme="minorHAnsi" w:cstheme="minorHAnsi"/>
          <w:i/>
          <w:iCs/>
          <w:sz w:val="22"/>
          <w:szCs w:val="22"/>
        </w:rPr>
        <w:t>ex</w:t>
      </w:r>
      <w:r w:rsidR="00FF781D" w:rsidRPr="00FF781D">
        <w:rPr>
          <w:rFonts w:asciiTheme="minorHAnsi" w:hAnsiTheme="minorHAnsi" w:cstheme="minorHAnsi"/>
          <w:i/>
          <w:iCs/>
          <w:sz w:val="22"/>
          <w:szCs w:val="22"/>
        </w:rPr>
        <w:t xml:space="preserve"> </w:t>
      </w:r>
      <w:r w:rsidRPr="00FF781D">
        <w:rPr>
          <w:rFonts w:asciiTheme="minorHAnsi" w:hAnsiTheme="minorHAnsi" w:cstheme="minorHAnsi"/>
          <w:i/>
          <w:iCs/>
          <w:sz w:val="22"/>
          <w:szCs w:val="22"/>
        </w:rPr>
        <w:t>officio</w:t>
      </w:r>
      <w:r w:rsidRPr="001D15EE">
        <w:rPr>
          <w:rFonts w:asciiTheme="minorHAnsi" w:hAnsiTheme="minorHAnsi" w:cstheme="minorHAnsi"/>
          <w:sz w:val="22"/>
          <w:szCs w:val="22"/>
        </w:rPr>
        <w:t xml:space="preserve"> review. </w:t>
      </w:r>
      <w:r w:rsidR="00FF781D">
        <w:rPr>
          <w:rFonts w:asciiTheme="minorHAnsi" w:hAnsiTheme="minorHAnsi" w:cstheme="minorHAnsi"/>
          <w:sz w:val="22"/>
          <w:szCs w:val="22"/>
        </w:rPr>
        <w:t>W</w:t>
      </w:r>
      <w:r w:rsidRPr="001D15EE">
        <w:rPr>
          <w:rFonts w:asciiTheme="minorHAnsi" w:hAnsiTheme="minorHAnsi" w:cstheme="minorHAnsi"/>
          <w:sz w:val="22"/>
          <w:szCs w:val="22"/>
        </w:rPr>
        <w:t xml:space="preserve">e will </w:t>
      </w:r>
      <w:r w:rsidR="00FF781D">
        <w:rPr>
          <w:rFonts w:asciiTheme="minorHAnsi" w:hAnsiTheme="minorHAnsi" w:cstheme="minorHAnsi"/>
          <w:sz w:val="22"/>
          <w:szCs w:val="22"/>
        </w:rPr>
        <w:t xml:space="preserve">then </w:t>
      </w:r>
      <w:r w:rsidRPr="001D15EE">
        <w:rPr>
          <w:rFonts w:asciiTheme="minorHAnsi" w:hAnsiTheme="minorHAnsi" w:cstheme="minorHAnsi"/>
          <w:sz w:val="22"/>
          <w:szCs w:val="22"/>
        </w:rPr>
        <w:t>analyse f</w:t>
      </w:r>
      <w:r w:rsidR="00FF781D">
        <w:rPr>
          <w:rFonts w:asciiTheme="minorHAnsi" w:hAnsiTheme="minorHAnsi" w:cstheme="minorHAnsi"/>
          <w:sz w:val="22"/>
          <w:szCs w:val="22"/>
        </w:rPr>
        <w:t>ive</w:t>
      </w:r>
      <w:r w:rsidRPr="001D15EE">
        <w:rPr>
          <w:rFonts w:asciiTheme="minorHAnsi" w:hAnsiTheme="minorHAnsi" w:cstheme="minorHAnsi"/>
          <w:sz w:val="22"/>
          <w:szCs w:val="22"/>
        </w:rPr>
        <w:t xml:space="preserve"> selected judgments in which lower courts felt compelled to act contrary to the prohibition of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In some cases</w:t>
      </w:r>
      <w:r w:rsidR="00790B20">
        <w:rPr>
          <w:rFonts w:asciiTheme="minorHAnsi" w:hAnsiTheme="minorHAnsi" w:cstheme="minorHAnsi"/>
          <w:sz w:val="22"/>
          <w:szCs w:val="22"/>
        </w:rPr>
        <w:t>,</w:t>
      </w:r>
      <w:r w:rsidRPr="001D15EE">
        <w:rPr>
          <w:rFonts w:asciiTheme="minorHAnsi" w:hAnsiTheme="minorHAnsi" w:cstheme="minorHAnsi"/>
          <w:sz w:val="22"/>
          <w:szCs w:val="22"/>
        </w:rPr>
        <w:t xml:space="preserve"> the judgments were annulled by the Council of State in higher appeal </w:t>
      </w:r>
      <w:r w:rsidR="00373A0A" w:rsidRPr="001D15EE">
        <w:rPr>
          <w:rFonts w:asciiTheme="minorHAnsi" w:hAnsiTheme="minorHAnsi" w:cstheme="minorHAnsi"/>
          <w:sz w:val="22"/>
          <w:szCs w:val="22"/>
        </w:rPr>
        <w:t>on this particular ground</w:t>
      </w:r>
      <w:r w:rsidRPr="001D15EE">
        <w:rPr>
          <w:rFonts w:asciiTheme="minorHAnsi" w:hAnsiTheme="minorHAnsi" w:cstheme="minorHAnsi"/>
          <w:sz w:val="22"/>
          <w:szCs w:val="22"/>
        </w:rPr>
        <w:t xml:space="preserve">. </w:t>
      </w:r>
    </w:p>
    <w:p w14:paraId="66DC19DE" w14:textId="77777777" w:rsidR="003B0486" w:rsidRPr="001D15EE" w:rsidRDefault="003B0486" w:rsidP="007F72D6">
      <w:pPr>
        <w:spacing w:line="276" w:lineRule="auto"/>
        <w:jc w:val="both"/>
        <w:rPr>
          <w:rFonts w:asciiTheme="minorHAnsi" w:hAnsiTheme="minorHAnsi" w:cstheme="minorHAnsi"/>
        </w:rPr>
      </w:pPr>
    </w:p>
    <w:p w14:paraId="24D95355" w14:textId="716E7F08" w:rsidR="003B0486" w:rsidRPr="001D15EE" w:rsidRDefault="003B0486" w:rsidP="007F72D6">
      <w:pPr>
        <w:pStyle w:val="Heading2"/>
        <w:spacing w:line="276" w:lineRule="auto"/>
        <w:rPr>
          <w:rFonts w:asciiTheme="minorHAnsi" w:hAnsiTheme="minorHAnsi" w:cstheme="minorHAnsi"/>
          <w:sz w:val="22"/>
          <w:szCs w:val="22"/>
        </w:rPr>
      </w:pPr>
      <w:bookmarkStart w:id="16" w:name="_Toc66828024"/>
      <w:r w:rsidRPr="001D15EE">
        <w:rPr>
          <w:rFonts w:asciiTheme="minorHAnsi" w:hAnsiTheme="minorHAnsi" w:cstheme="minorHAnsi"/>
          <w:sz w:val="22"/>
          <w:szCs w:val="22"/>
        </w:rPr>
        <w:t xml:space="preserve">2.2 Courts comply with the prohibition of </w:t>
      </w:r>
      <w:r w:rsidRPr="001D15EE">
        <w:rPr>
          <w:rFonts w:asciiTheme="minorHAnsi" w:hAnsiTheme="minorHAnsi" w:cstheme="minorHAnsi"/>
          <w:i/>
          <w:iCs/>
          <w:sz w:val="22"/>
          <w:szCs w:val="22"/>
        </w:rPr>
        <w:t>ex</w:t>
      </w:r>
      <w:r w:rsidR="00D84FCA">
        <w:rPr>
          <w:rFonts w:asciiTheme="minorHAnsi" w:hAnsiTheme="minorHAnsi" w:cstheme="minorHAnsi"/>
          <w:i/>
          <w:iCs/>
          <w:sz w:val="22"/>
          <w:szCs w:val="22"/>
        </w:rPr>
        <w:t xml:space="preserve"> </w:t>
      </w:r>
      <w:r w:rsidRPr="001D15EE">
        <w:rPr>
          <w:rFonts w:asciiTheme="minorHAnsi" w:hAnsiTheme="minorHAnsi" w:cstheme="minorHAnsi"/>
          <w:i/>
          <w:iCs/>
          <w:sz w:val="22"/>
          <w:szCs w:val="22"/>
        </w:rPr>
        <w:t xml:space="preserve">officio </w:t>
      </w:r>
      <w:r w:rsidRPr="001D15EE">
        <w:rPr>
          <w:rFonts w:asciiTheme="minorHAnsi" w:hAnsiTheme="minorHAnsi" w:cstheme="minorHAnsi"/>
          <w:sz w:val="22"/>
          <w:szCs w:val="22"/>
        </w:rPr>
        <w:t>review in detention cases</w:t>
      </w:r>
      <w:bookmarkEnd w:id="16"/>
    </w:p>
    <w:p w14:paraId="0DDBF6ED" w14:textId="77777777" w:rsidR="003B0486" w:rsidRPr="001D15EE" w:rsidRDefault="003B0486" w:rsidP="007F72D6">
      <w:pPr>
        <w:spacing w:line="276" w:lineRule="auto"/>
        <w:rPr>
          <w:rFonts w:asciiTheme="minorHAnsi" w:hAnsiTheme="minorHAnsi" w:cstheme="minorHAnsi"/>
        </w:rPr>
      </w:pPr>
    </w:p>
    <w:p w14:paraId="405EBD1E" w14:textId="29279B67" w:rsidR="003B0486" w:rsidRPr="001D15EE" w:rsidRDefault="003B0486" w:rsidP="007F72D6">
      <w:pPr>
        <w:spacing w:line="276" w:lineRule="auto"/>
        <w:jc w:val="both"/>
        <w:rPr>
          <w:rFonts w:asciiTheme="minorHAnsi" w:hAnsiTheme="minorHAnsi" w:cstheme="minorHAnsi"/>
          <w:sz w:val="22"/>
          <w:szCs w:val="22"/>
          <w:lang w:val="en-US"/>
        </w:rPr>
      </w:pPr>
      <w:r w:rsidRPr="001D15EE">
        <w:rPr>
          <w:rFonts w:asciiTheme="minorHAnsi" w:hAnsiTheme="minorHAnsi" w:cstheme="minorHAnsi"/>
          <w:sz w:val="22"/>
          <w:szCs w:val="22"/>
        </w:rPr>
        <w:t xml:space="preserve">Generally, the </w:t>
      </w:r>
      <w:r w:rsidR="00FF781D">
        <w:rPr>
          <w:rFonts w:asciiTheme="minorHAnsi" w:hAnsiTheme="minorHAnsi" w:cstheme="minorHAnsi"/>
          <w:sz w:val="22"/>
          <w:szCs w:val="22"/>
        </w:rPr>
        <w:t>D</w:t>
      </w:r>
      <w:r w:rsidRPr="001D15EE">
        <w:rPr>
          <w:rFonts w:asciiTheme="minorHAnsi" w:hAnsiTheme="minorHAnsi" w:cstheme="minorHAnsi"/>
          <w:sz w:val="22"/>
          <w:szCs w:val="22"/>
        </w:rPr>
        <w:t xml:space="preserve">istrict </w:t>
      </w:r>
      <w:r w:rsidR="00FF781D">
        <w:rPr>
          <w:rFonts w:asciiTheme="minorHAnsi" w:hAnsiTheme="minorHAnsi" w:cstheme="minorHAnsi"/>
          <w:sz w:val="22"/>
          <w:szCs w:val="22"/>
        </w:rPr>
        <w:t>C</w:t>
      </w:r>
      <w:r w:rsidRPr="001D15EE">
        <w:rPr>
          <w:rFonts w:asciiTheme="minorHAnsi" w:hAnsiTheme="minorHAnsi" w:cstheme="minorHAnsi"/>
          <w:sz w:val="22"/>
          <w:szCs w:val="22"/>
        </w:rPr>
        <w:t xml:space="preserve">ourts comply with the Council of State’s case law and review the lawfulness of a detention measure only on the basis of the grounds submitted by the </w:t>
      </w:r>
      <w:r w:rsidR="00FF781D">
        <w:rPr>
          <w:rFonts w:asciiTheme="minorHAnsi" w:hAnsiTheme="minorHAnsi" w:cstheme="minorHAnsi"/>
          <w:sz w:val="22"/>
          <w:szCs w:val="22"/>
        </w:rPr>
        <w:t>applicant</w:t>
      </w:r>
      <w:r w:rsidRPr="001D15EE">
        <w:rPr>
          <w:rFonts w:asciiTheme="minorHAnsi" w:hAnsiTheme="minorHAnsi" w:cstheme="minorHAnsi"/>
          <w:sz w:val="22"/>
          <w:szCs w:val="22"/>
        </w:rPr>
        <w:t xml:space="preserve">. In very few cases, </w:t>
      </w:r>
      <w:r w:rsidR="00FF781D">
        <w:rPr>
          <w:rFonts w:asciiTheme="minorHAnsi" w:hAnsiTheme="minorHAnsi" w:cstheme="minorHAnsi"/>
          <w:sz w:val="22"/>
          <w:szCs w:val="22"/>
        </w:rPr>
        <w:t>D</w:t>
      </w:r>
      <w:r w:rsidRPr="001D15EE">
        <w:rPr>
          <w:rFonts w:asciiTheme="minorHAnsi" w:hAnsiTheme="minorHAnsi" w:cstheme="minorHAnsi"/>
          <w:sz w:val="22"/>
          <w:szCs w:val="22"/>
        </w:rPr>
        <w:t xml:space="preserve">istrict </w:t>
      </w:r>
      <w:r w:rsidR="00FF781D">
        <w:rPr>
          <w:rFonts w:asciiTheme="minorHAnsi" w:hAnsiTheme="minorHAnsi" w:cstheme="minorHAnsi"/>
          <w:sz w:val="22"/>
          <w:szCs w:val="22"/>
        </w:rPr>
        <w:t>C</w:t>
      </w:r>
      <w:r w:rsidRPr="001D15EE">
        <w:rPr>
          <w:rFonts w:asciiTheme="minorHAnsi" w:hAnsiTheme="minorHAnsi" w:cstheme="minorHAnsi"/>
          <w:sz w:val="22"/>
          <w:szCs w:val="22"/>
        </w:rPr>
        <w:t xml:space="preserve">ourts </w:t>
      </w:r>
      <w:r w:rsidRPr="001D15EE">
        <w:rPr>
          <w:rFonts w:asciiTheme="minorHAnsi" w:hAnsiTheme="minorHAnsi" w:cstheme="minorHAnsi"/>
          <w:i/>
          <w:iCs/>
          <w:sz w:val="22"/>
          <w:szCs w:val="22"/>
        </w:rPr>
        <w:t>explicitly</w:t>
      </w:r>
      <w:r w:rsidRPr="001D15EE">
        <w:rPr>
          <w:rFonts w:asciiTheme="minorHAnsi" w:hAnsiTheme="minorHAnsi" w:cstheme="minorHAnsi"/>
          <w:sz w:val="22"/>
          <w:szCs w:val="22"/>
        </w:rPr>
        <w:t xml:space="preserve"> refrain from applying an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of the lawfulness of a detention measure. An example of such a case is a judgment of the District Court of The Hague of 14 June 2007. In the appeal, the </w:t>
      </w:r>
      <w:r w:rsidRPr="001D15EE">
        <w:rPr>
          <w:rFonts w:asciiTheme="minorHAnsi" w:hAnsiTheme="minorHAnsi" w:cstheme="minorHAnsi"/>
          <w:sz w:val="22"/>
          <w:szCs w:val="22"/>
          <w:lang w:val="en-US"/>
        </w:rPr>
        <w:t>applicant argued that he was deprived of effective legal protection</w:t>
      </w:r>
      <w:r w:rsidR="00934BAA">
        <w:rPr>
          <w:rFonts w:asciiTheme="minorHAnsi" w:hAnsiTheme="minorHAnsi" w:cstheme="minorHAnsi"/>
          <w:sz w:val="22"/>
          <w:szCs w:val="22"/>
          <w:lang w:val="en-US"/>
        </w:rPr>
        <w:t xml:space="preserve"> because the</w:t>
      </w:r>
      <w:r w:rsidR="007F72D6">
        <w:rPr>
          <w:rFonts w:asciiTheme="minorHAnsi" w:hAnsiTheme="minorHAnsi" w:cstheme="minorHAnsi"/>
          <w:sz w:val="22"/>
          <w:szCs w:val="22"/>
          <w:lang w:val="en-US"/>
        </w:rPr>
        <w:t xml:space="preserve"> </w:t>
      </w:r>
      <w:r w:rsidRPr="001D15EE">
        <w:rPr>
          <w:rFonts w:asciiTheme="minorHAnsi" w:hAnsiTheme="minorHAnsi" w:cstheme="minorHAnsi"/>
          <w:sz w:val="22"/>
          <w:szCs w:val="22"/>
          <w:lang w:val="en-US"/>
        </w:rPr>
        <w:t>detention measure</w:t>
      </w:r>
      <w:r w:rsidR="00934BAA">
        <w:rPr>
          <w:rFonts w:asciiTheme="minorHAnsi" w:hAnsiTheme="minorHAnsi" w:cstheme="minorHAnsi"/>
          <w:sz w:val="22"/>
          <w:szCs w:val="22"/>
          <w:lang w:val="en-US"/>
        </w:rPr>
        <w:t xml:space="preserve"> was not reviewed </w:t>
      </w:r>
      <w:r w:rsidR="00934BAA" w:rsidRPr="001D15EE">
        <w:rPr>
          <w:rFonts w:asciiTheme="minorHAnsi" w:hAnsiTheme="minorHAnsi" w:cstheme="minorHAnsi"/>
          <w:i/>
          <w:iCs/>
          <w:sz w:val="22"/>
          <w:szCs w:val="22"/>
          <w:lang w:val="en-US"/>
        </w:rPr>
        <w:t>ex officio</w:t>
      </w:r>
      <w:r w:rsidRPr="001D15EE">
        <w:rPr>
          <w:rFonts w:asciiTheme="minorHAnsi" w:hAnsiTheme="minorHAnsi" w:cstheme="minorHAnsi"/>
          <w:sz w:val="22"/>
          <w:szCs w:val="22"/>
          <w:lang w:val="en-US"/>
        </w:rPr>
        <w:t>.</w:t>
      </w:r>
      <w:r w:rsidRPr="001D15EE">
        <w:rPr>
          <w:rFonts w:asciiTheme="minorHAnsi" w:hAnsiTheme="minorHAnsi" w:cstheme="minorHAnsi"/>
          <w:sz w:val="22"/>
          <w:szCs w:val="22"/>
          <w:vertAlign w:val="superscript"/>
          <w:lang w:val="en-US"/>
        </w:rPr>
        <w:footnoteReference w:id="22"/>
      </w:r>
      <w:r w:rsidRPr="001D15EE">
        <w:rPr>
          <w:rFonts w:asciiTheme="minorHAnsi" w:hAnsiTheme="minorHAnsi" w:cstheme="minorHAnsi"/>
          <w:sz w:val="22"/>
          <w:szCs w:val="22"/>
          <w:lang w:val="en-US"/>
        </w:rPr>
        <w:t xml:space="preserve"> The applicant submitted that EU law requires the District Court to subject the lawfulness of the detention measure to a full and </w:t>
      </w:r>
      <w:r w:rsidRPr="001D15EE">
        <w:rPr>
          <w:rFonts w:asciiTheme="minorHAnsi" w:hAnsiTheme="minorHAnsi" w:cstheme="minorHAnsi"/>
          <w:i/>
          <w:iCs/>
          <w:sz w:val="22"/>
          <w:szCs w:val="22"/>
          <w:lang w:val="en-US"/>
        </w:rPr>
        <w:t>ex officio</w:t>
      </w:r>
      <w:r w:rsidRPr="001D15EE">
        <w:rPr>
          <w:rFonts w:asciiTheme="minorHAnsi" w:hAnsiTheme="minorHAnsi" w:cstheme="minorHAnsi"/>
          <w:sz w:val="22"/>
          <w:szCs w:val="22"/>
          <w:lang w:val="en-US"/>
        </w:rPr>
        <w:t xml:space="preserve"> examination. </w:t>
      </w:r>
    </w:p>
    <w:p w14:paraId="0D8A0E8E" w14:textId="091E0C68" w:rsidR="003B0486" w:rsidRPr="001D15EE" w:rsidRDefault="003B0486" w:rsidP="007F72D6">
      <w:pPr>
        <w:spacing w:line="276" w:lineRule="auto"/>
        <w:jc w:val="both"/>
        <w:rPr>
          <w:rFonts w:asciiTheme="minorHAnsi" w:hAnsiTheme="minorHAnsi" w:cstheme="minorHAnsi"/>
          <w:color w:val="000000"/>
          <w:sz w:val="22"/>
          <w:szCs w:val="22"/>
          <w:shd w:val="clear" w:color="auto" w:fill="FFFFFF"/>
        </w:rPr>
      </w:pPr>
      <w:r w:rsidRPr="001D15EE">
        <w:rPr>
          <w:rFonts w:asciiTheme="minorHAnsi" w:hAnsiTheme="minorHAnsi" w:cstheme="minorHAnsi"/>
          <w:sz w:val="22"/>
          <w:szCs w:val="22"/>
          <w:lang w:val="en-US"/>
        </w:rPr>
        <w:tab/>
        <w:t xml:space="preserve">The District Court considered that the court is bound by a ‘prohibition to exceed the boundaries of the claim </w:t>
      </w:r>
      <w:r w:rsidRPr="001D15EE">
        <w:rPr>
          <w:rFonts w:asciiTheme="minorHAnsi" w:hAnsiTheme="minorHAnsi" w:cstheme="minorHAnsi"/>
          <w:color w:val="000000"/>
          <w:sz w:val="22"/>
          <w:szCs w:val="22"/>
          <w:shd w:val="clear" w:color="auto" w:fill="FFFFFF"/>
        </w:rPr>
        <w:t>(go ‘</w:t>
      </w:r>
      <w:r w:rsidRPr="001D15EE">
        <w:rPr>
          <w:rFonts w:asciiTheme="minorHAnsi" w:hAnsiTheme="minorHAnsi" w:cstheme="minorHAnsi"/>
          <w:i/>
          <w:iCs/>
          <w:color w:val="000000"/>
          <w:sz w:val="22"/>
          <w:szCs w:val="22"/>
          <w:shd w:val="clear" w:color="auto" w:fill="FFFFFF"/>
        </w:rPr>
        <w:t>ultra petitum’</w:t>
      </w:r>
      <w:r w:rsidRPr="001D15EE">
        <w:rPr>
          <w:rFonts w:asciiTheme="minorHAnsi" w:hAnsiTheme="minorHAnsi" w:cstheme="minorHAnsi"/>
          <w:color w:val="000000"/>
          <w:sz w:val="22"/>
          <w:szCs w:val="22"/>
          <w:shd w:val="clear" w:color="auto" w:fill="FFFFFF"/>
        </w:rPr>
        <w:t>)’</w:t>
      </w:r>
      <w:r w:rsidRPr="001D15EE">
        <w:rPr>
          <w:rFonts w:asciiTheme="minorHAnsi" w:hAnsiTheme="minorHAnsi" w:cstheme="minorHAnsi"/>
          <w:sz w:val="22"/>
          <w:szCs w:val="22"/>
        </w:rPr>
        <w:t>. ‘Where a detention judge nevertheless exceeds the boundaries of the claim, they will be corrected by the Administrative Jurisdiction Division of the Council of State’.</w:t>
      </w:r>
      <w:r w:rsidRPr="001D15EE">
        <w:rPr>
          <w:rStyle w:val="FootnoteReference"/>
          <w:rFonts w:asciiTheme="minorHAnsi" w:hAnsiTheme="minorHAnsi" w:cstheme="minorHAnsi"/>
          <w:sz w:val="22"/>
          <w:szCs w:val="22"/>
        </w:rPr>
        <w:footnoteReference w:id="23"/>
      </w:r>
      <w:r w:rsidRPr="001D15EE">
        <w:rPr>
          <w:rFonts w:asciiTheme="minorHAnsi" w:hAnsiTheme="minorHAnsi" w:cstheme="minorHAnsi"/>
          <w:sz w:val="22"/>
          <w:szCs w:val="22"/>
        </w:rPr>
        <w:t xml:space="preserve"> Moreover, the District Court found that no provision of ‘public order’ warranting an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was at issue in this case. According to the District Court, the Return Directive does not require it to review the lawfulness of detention measure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Moreover, the right to effective judicial protection was guaranteed. Here, the District Court took into account that the applicant was represented by a lawyer and had a right to higher appeal.</w:t>
      </w:r>
      <w:r w:rsidR="00341110">
        <w:rPr>
          <w:rFonts w:asciiTheme="minorHAnsi" w:hAnsiTheme="minorHAnsi" w:cstheme="minorHAnsi"/>
          <w:sz w:val="22"/>
          <w:szCs w:val="22"/>
        </w:rPr>
        <w:t xml:space="preserve"> </w:t>
      </w:r>
    </w:p>
    <w:p w14:paraId="045D0B39" w14:textId="77777777" w:rsidR="003B0486" w:rsidRPr="001D15EE" w:rsidRDefault="003B0486" w:rsidP="007F72D6">
      <w:pPr>
        <w:spacing w:line="276" w:lineRule="auto"/>
        <w:jc w:val="both"/>
        <w:rPr>
          <w:rFonts w:asciiTheme="minorHAnsi" w:hAnsiTheme="minorHAnsi" w:cstheme="minorHAnsi"/>
          <w:color w:val="000000"/>
          <w:sz w:val="18"/>
          <w:szCs w:val="18"/>
          <w:shd w:val="clear" w:color="auto" w:fill="FFFFFF"/>
        </w:rPr>
      </w:pPr>
    </w:p>
    <w:p w14:paraId="00842E93" w14:textId="3C6BE687" w:rsidR="003B0486" w:rsidRPr="001D15EE" w:rsidRDefault="003B0486" w:rsidP="007F72D6">
      <w:pPr>
        <w:pStyle w:val="Heading2"/>
        <w:spacing w:line="276" w:lineRule="auto"/>
        <w:rPr>
          <w:rFonts w:asciiTheme="minorHAnsi" w:hAnsiTheme="minorHAnsi" w:cstheme="minorHAnsi"/>
          <w:sz w:val="22"/>
          <w:szCs w:val="22"/>
          <w:lang w:val="en-US"/>
        </w:rPr>
      </w:pPr>
      <w:bookmarkStart w:id="17" w:name="_Toc66828025"/>
      <w:r w:rsidRPr="001D15EE">
        <w:rPr>
          <w:rFonts w:asciiTheme="minorHAnsi" w:hAnsiTheme="minorHAnsi" w:cstheme="minorHAnsi"/>
          <w:sz w:val="22"/>
          <w:szCs w:val="22"/>
          <w:lang w:val="en-US"/>
        </w:rPr>
        <w:lastRenderedPageBreak/>
        <w:t xml:space="preserve">2.3 Disobedient courts: examples of </w:t>
      </w:r>
      <w:r w:rsidRPr="00D84FCA">
        <w:rPr>
          <w:rFonts w:asciiTheme="minorHAnsi" w:hAnsiTheme="minorHAnsi" w:cstheme="minorHAnsi"/>
          <w:i/>
          <w:iCs/>
          <w:sz w:val="22"/>
          <w:szCs w:val="22"/>
          <w:lang w:val="en-US"/>
        </w:rPr>
        <w:t>ex</w:t>
      </w:r>
      <w:r w:rsidR="00D84FCA" w:rsidRPr="00D84FCA">
        <w:rPr>
          <w:rFonts w:asciiTheme="minorHAnsi" w:hAnsiTheme="minorHAnsi" w:cstheme="minorHAnsi"/>
          <w:i/>
          <w:iCs/>
          <w:sz w:val="22"/>
          <w:szCs w:val="22"/>
          <w:lang w:val="en-US"/>
        </w:rPr>
        <w:t xml:space="preserve"> </w:t>
      </w:r>
      <w:r w:rsidRPr="00D84FCA">
        <w:rPr>
          <w:rFonts w:asciiTheme="minorHAnsi" w:hAnsiTheme="minorHAnsi" w:cstheme="minorHAnsi"/>
          <w:i/>
          <w:iCs/>
          <w:sz w:val="22"/>
          <w:szCs w:val="22"/>
          <w:lang w:val="en-US"/>
        </w:rPr>
        <w:t>officio</w:t>
      </w:r>
      <w:r w:rsidRPr="001D15EE">
        <w:rPr>
          <w:rFonts w:asciiTheme="minorHAnsi" w:hAnsiTheme="minorHAnsi" w:cstheme="minorHAnsi"/>
          <w:sz w:val="22"/>
          <w:szCs w:val="22"/>
          <w:lang w:val="en-US"/>
        </w:rPr>
        <w:t xml:space="preserve"> review</w:t>
      </w:r>
      <w:bookmarkEnd w:id="17"/>
    </w:p>
    <w:p w14:paraId="29F78429" w14:textId="77777777" w:rsidR="003B0486" w:rsidRPr="001D15EE" w:rsidRDefault="003B0486" w:rsidP="007F72D6">
      <w:pPr>
        <w:spacing w:line="276" w:lineRule="auto"/>
        <w:jc w:val="both"/>
        <w:rPr>
          <w:rFonts w:asciiTheme="minorHAnsi" w:hAnsiTheme="minorHAnsi" w:cstheme="minorHAnsi"/>
          <w:lang w:val="en-US"/>
        </w:rPr>
      </w:pPr>
    </w:p>
    <w:p w14:paraId="69FB7EF6" w14:textId="122C4FBA"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Even though </w:t>
      </w:r>
      <w:r w:rsidR="008B21CB" w:rsidRPr="001D15EE">
        <w:rPr>
          <w:rFonts w:asciiTheme="minorHAnsi" w:hAnsiTheme="minorHAnsi" w:cstheme="minorHAnsi"/>
          <w:sz w:val="22"/>
          <w:szCs w:val="22"/>
        </w:rPr>
        <w:t xml:space="preserve">the Council of State’s strict interpretation of </w:t>
      </w:r>
      <w:r w:rsidRPr="001D15EE">
        <w:rPr>
          <w:rFonts w:asciiTheme="minorHAnsi" w:hAnsiTheme="minorHAnsi" w:cstheme="minorHAnsi"/>
          <w:sz w:val="22"/>
          <w:szCs w:val="22"/>
        </w:rPr>
        <w:t xml:space="preserve">Article 8:69 GALA prohibits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several District Courts have felt compelled to exercise a (full) </w:t>
      </w:r>
      <w:r w:rsidRPr="00D84FCA">
        <w:rPr>
          <w:rFonts w:asciiTheme="minorHAnsi" w:hAnsiTheme="minorHAnsi" w:cstheme="minorHAnsi"/>
          <w:i/>
          <w:iCs/>
          <w:sz w:val="22"/>
          <w:szCs w:val="22"/>
        </w:rPr>
        <w:t>ex</w:t>
      </w:r>
      <w:r w:rsidR="00D84FCA" w:rsidRPr="00D84FCA">
        <w:rPr>
          <w:rFonts w:asciiTheme="minorHAnsi" w:hAnsiTheme="minorHAnsi" w:cstheme="minorHAnsi"/>
          <w:i/>
          <w:iCs/>
          <w:sz w:val="22"/>
          <w:szCs w:val="22"/>
        </w:rPr>
        <w:t xml:space="preserve"> </w:t>
      </w:r>
      <w:r w:rsidRPr="00D84FCA">
        <w:rPr>
          <w:rFonts w:asciiTheme="minorHAnsi" w:hAnsiTheme="minorHAnsi" w:cstheme="minorHAnsi"/>
          <w:i/>
          <w:iCs/>
          <w:sz w:val="22"/>
          <w:szCs w:val="22"/>
        </w:rPr>
        <w:t>officio</w:t>
      </w:r>
      <w:r w:rsidRPr="001D15EE">
        <w:rPr>
          <w:rFonts w:asciiTheme="minorHAnsi" w:hAnsiTheme="minorHAnsi" w:cstheme="minorHAnsi"/>
          <w:sz w:val="22"/>
          <w:szCs w:val="22"/>
        </w:rPr>
        <w:t xml:space="preserve"> judicial review in detention cases.</w:t>
      </w:r>
      <w:r w:rsidRPr="001D15EE">
        <w:rPr>
          <w:rStyle w:val="FootnoteReference"/>
          <w:rFonts w:asciiTheme="minorHAnsi" w:hAnsiTheme="minorHAnsi" w:cstheme="minorHAnsi"/>
          <w:sz w:val="22"/>
          <w:szCs w:val="22"/>
        </w:rPr>
        <w:footnoteReference w:id="24"/>
      </w:r>
      <w:r w:rsidRPr="001D15EE">
        <w:rPr>
          <w:rFonts w:asciiTheme="minorHAnsi" w:hAnsiTheme="minorHAnsi" w:cstheme="minorHAnsi"/>
          <w:sz w:val="22"/>
          <w:szCs w:val="22"/>
        </w:rPr>
        <w:t xml:space="preserve"> In this section we will describe five examples of judgments in which the District Court reviewed an aspect of the detention measure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concluded that the detention measure was unlawful and released the </w:t>
      </w:r>
      <w:r w:rsidR="000A05CF" w:rsidRPr="001D15EE">
        <w:rPr>
          <w:rFonts w:asciiTheme="minorHAnsi" w:hAnsiTheme="minorHAnsi" w:cstheme="minorHAnsi"/>
          <w:sz w:val="22"/>
          <w:szCs w:val="22"/>
        </w:rPr>
        <w:t>TCN</w:t>
      </w:r>
      <w:r w:rsidRPr="001D15EE">
        <w:rPr>
          <w:rFonts w:asciiTheme="minorHAnsi" w:hAnsiTheme="minorHAnsi" w:cstheme="minorHAnsi"/>
          <w:sz w:val="22"/>
          <w:szCs w:val="22"/>
        </w:rPr>
        <w:t xml:space="preserve">. In these cases, the </w:t>
      </w:r>
      <w:r w:rsidR="000A05CF" w:rsidRPr="001D15EE">
        <w:rPr>
          <w:rFonts w:asciiTheme="minorHAnsi" w:hAnsiTheme="minorHAnsi" w:cstheme="minorHAnsi"/>
          <w:sz w:val="22"/>
          <w:szCs w:val="22"/>
        </w:rPr>
        <w:t>TCN</w:t>
      </w:r>
      <w:r w:rsidRPr="001D15EE">
        <w:rPr>
          <w:rFonts w:asciiTheme="minorHAnsi" w:hAnsiTheme="minorHAnsi" w:cstheme="minorHAnsi"/>
          <w:sz w:val="22"/>
          <w:szCs w:val="22"/>
        </w:rPr>
        <w:t xml:space="preserve"> had not be released, if the District Court would have complied with Article 8:69 GALA. The Secretary of State lodged a higher appeal against all of these judgments. Three of them were annulled by the Council of State because the District Court </w:t>
      </w:r>
      <w:r w:rsidR="006607A4" w:rsidRPr="001D15EE">
        <w:rPr>
          <w:rFonts w:asciiTheme="minorHAnsi" w:hAnsiTheme="minorHAnsi" w:cstheme="minorHAnsi"/>
          <w:sz w:val="22"/>
          <w:szCs w:val="22"/>
        </w:rPr>
        <w:t>acted contrary to Article 8:69 GALA</w:t>
      </w:r>
      <w:r w:rsidRPr="001D15EE">
        <w:rPr>
          <w:rFonts w:asciiTheme="minorHAnsi" w:hAnsiTheme="minorHAnsi" w:cstheme="minorHAnsi"/>
          <w:sz w:val="22"/>
          <w:szCs w:val="22"/>
        </w:rPr>
        <w:t>, one was annulled for another reason and one higher appeal is still pending. With these examples we aim to illustrate how the Dutch District Courts are limited in their judicial review in practice.</w:t>
      </w:r>
      <w:r w:rsidR="008B21CB" w:rsidRPr="001D15EE">
        <w:rPr>
          <w:rFonts w:asciiTheme="minorHAnsi" w:hAnsiTheme="minorHAnsi" w:cstheme="minorHAnsi"/>
          <w:sz w:val="22"/>
          <w:szCs w:val="22"/>
        </w:rPr>
        <w:t xml:space="preserve"> We will present the cases in chronological order. The first two examples date from before the implementation of the Return Directive. The last three examples demonstrate that the Council of State has not changed its views on </w:t>
      </w:r>
      <w:r w:rsidR="008B21CB" w:rsidRPr="001D15EE">
        <w:rPr>
          <w:rFonts w:asciiTheme="minorHAnsi" w:hAnsiTheme="minorHAnsi" w:cstheme="minorHAnsi"/>
          <w:i/>
          <w:sz w:val="22"/>
          <w:szCs w:val="22"/>
        </w:rPr>
        <w:t>ex officio</w:t>
      </w:r>
      <w:r w:rsidR="008B21CB" w:rsidRPr="001D15EE">
        <w:rPr>
          <w:rFonts w:asciiTheme="minorHAnsi" w:hAnsiTheme="minorHAnsi" w:cstheme="minorHAnsi"/>
          <w:sz w:val="22"/>
          <w:szCs w:val="22"/>
        </w:rPr>
        <w:t xml:space="preserve"> review of detention measures after the implementation of this Directive.</w:t>
      </w:r>
    </w:p>
    <w:p w14:paraId="572A2768" w14:textId="77777777" w:rsidR="003B0486" w:rsidRPr="001D15EE" w:rsidRDefault="003B0486" w:rsidP="007F72D6">
      <w:pPr>
        <w:spacing w:line="276" w:lineRule="auto"/>
        <w:jc w:val="both"/>
        <w:rPr>
          <w:rFonts w:asciiTheme="minorHAnsi" w:hAnsiTheme="minorHAnsi" w:cstheme="minorHAnsi"/>
          <w:b/>
          <w:bCs/>
        </w:rPr>
      </w:pPr>
    </w:p>
    <w:p w14:paraId="0B1968BC" w14:textId="719251A3" w:rsidR="008B21CB" w:rsidRPr="001D15EE" w:rsidRDefault="008B21CB" w:rsidP="007F72D6">
      <w:pPr>
        <w:spacing w:line="276" w:lineRule="auto"/>
        <w:jc w:val="both"/>
        <w:rPr>
          <w:rFonts w:asciiTheme="minorHAnsi" w:hAnsiTheme="minorHAnsi" w:cstheme="minorHAnsi"/>
          <w:b/>
          <w:bCs/>
          <w:sz w:val="22"/>
          <w:szCs w:val="22"/>
        </w:rPr>
      </w:pPr>
      <w:r w:rsidRPr="001D15EE">
        <w:rPr>
          <w:rFonts w:asciiTheme="minorHAnsi" w:hAnsiTheme="minorHAnsi" w:cstheme="minorHAnsi"/>
          <w:b/>
          <w:bCs/>
          <w:sz w:val="22"/>
          <w:szCs w:val="22"/>
        </w:rPr>
        <w:t>Example 1: No prospect of removal</w:t>
      </w:r>
    </w:p>
    <w:p w14:paraId="68D3AB24" w14:textId="09ADE0B7" w:rsidR="008B21CB" w:rsidRPr="001D15EE" w:rsidRDefault="008B21CB"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In </w:t>
      </w:r>
      <w:r w:rsidR="00790B20">
        <w:rPr>
          <w:rFonts w:asciiTheme="minorHAnsi" w:hAnsiTheme="minorHAnsi" w:cstheme="minorHAnsi"/>
          <w:sz w:val="22"/>
          <w:szCs w:val="22"/>
        </w:rPr>
        <w:t>this</w:t>
      </w:r>
      <w:r w:rsidRPr="001D15EE">
        <w:rPr>
          <w:rFonts w:asciiTheme="minorHAnsi" w:hAnsiTheme="minorHAnsi" w:cstheme="minorHAnsi"/>
          <w:sz w:val="22"/>
          <w:szCs w:val="22"/>
        </w:rPr>
        <w:t xml:space="preserve">, the District Court ruled that the detention of an Iranian TCN was unlawful and ordered his release, because there was no prospect of removal. The TCN insisted that he did not want to return to Iran. At the time, the Iranian authorities would only issue a </w:t>
      </w:r>
      <w:r w:rsidRPr="001D15EE">
        <w:rPr>
          <w:rFonts w:asciiTheme="minorHAnsi" w:hAnsiTheme="minorHAnsi" w:cstheme="minorHAnsi"/>
          <w:i/>
          <w:iCs/>
          <w:sz w:val="22"/>
          <w:szCs w:val="22"/>
        </w:rPr>
        <w:t>laissez passer</w:t>
      </w:r>
      <w:r w:rsidRPr="001D15EE">
        <w:rPr>
          <w:rFonts w:asciiTheme="minorHAnsi" w:hAnsiTheme="minorHAnsi" w:cstheme="minorHAnsi"/>
          <w:sz w:val="22"/>
          <w:szCs w:val="22"/>
        </w:rPr>
        <w:t>, if the TCN stated orally and in writing that he was willing to return to Iran. The District Court found that it could not be expected of the TCN to mak</w:t>
      </w:r>
      <w:r w:rsidR="00BB1A23">
        <w:rPr>
          <w:rFonts w:asciiTheme="minorHAnsi" w:hAnsiTheme="minorHAnsi" w:cstheme="minorHAnsi"/>
          <w:sz w:val="22"/>
          <w:szCs w:val="22"/>
        </w:rPr>
        <w:t>e</w:t>
      </w:r>
      <w:r w:rsidRPr="001D15EE">
        <w:rPr>
          <w:rFonts w:asciiTheme="minorHAnsi" w:hAnsiTheme="minorHAnsi" w:cstheme="minorHAnsi"/>
          <w:sz w:val="22"/>
          <w:szCs w:val="22"/>
        </w:rPr>
        <w:t xml:space="preserve"> such a </w:t>
      </w:r>
      <w:r w:rsidR="00BB1A23">
        <w:rPr>
          <w:rFonts w:asciiTheme="minorHAnsi" w:hAnsiTheme="minorHAnsi" w:cstheme="minorHAnsi"/>
          <w:sz w:val="22"/>
          <w:szCs w:val="22"/>
        </w:rPr>
        <w:t xml:space="preserve">false </w:t>
      </w:r>
      <w:r w:rsidRPr="001D15EE">
        <w:rPr>
          <w:rFonts w:asciiTheme="minorHAnsi" w:hAnsiTheme="minorHAnsi" w:cstheme="minorHAnsi"/>
          <w:sz w:val="22"/>
          <w:szCs w:val="22"/>
        </w:rPr>
        <w:t xml:space="preserve">statement. The TCN had contended that there was </w:t>
      </w:r>
      <w:r w:rsidRPr="001D15EE">
        <w:rPr>
          <w:rFonts w:asciiTheme="minorHAnsi" w:hAnsiTheme="minorHAnsi" w:cstheme="minorHAnsi"/>
          <w:i/>
          <w:sz w:val="22"/>
          <w:szCs w:val="22"/>
        </w:rPr>
        <w:t>no prospect of removal</w:t>
      </w:r>
      <w:r w:rsidRPr="001D15EE">
        <w:rPr>
          <w:rFonts w:asciiTheme="minorHAnsi" w:hAnsiTheme="minorHAnsi" w:cstheme="minorHAnsi"/>
          <w:sz w:val="22"/>
          <w:szCs w:val="22"/>
        </w:rPr>
        <w:t xml:space="preserve"> since the Iranian authorities would probably not grant a </w:t>
      </w:r>
      <w:r w:rsidRPr="001D15EE">
        <w:rPr>
          <w:rFonts w:asciiTheme="minorHAnsi" w:hAnsiTheme="minorHAnsi" w:cstheme="minorHAnsi"/>
          <w:i/>
          <w:iCs/>
          <w:sz w:val="22"/>
          <w:szCs w:val="22"/>
        </w:rPr>
        <w:t>laissez passer</w:t>
      </w:r>
      <w:r w:rsidRPr="001D15EE">
        <w:rPr>
          <w:rFonts w:asciiTheme="minorHAnsi" w:hAnsiTheme="minorHAnsi" w:cstheme="minorHAnsi"/>
          <w:sz w:val="22"/>
          <w:szCs w:val="22"/>
        </w:rPr>
        <w:t xml:space="preserve"> to him, because he was undocumented. Moreover, he stated that, even if he were documented, the chances that he would be granted a </w:t>
      </w:r>
      <w:r w:rsidRPr="001D15EE">
        <w:rPr>
          <w:rFonts w:asciiTheme="minorHAnsi" w:hAnsiTheme="minorHAnsi" w:cstheme="minorHAnsi"/>
          <w:i/>
          <w:iCs/>
          <w:sz w:val="22"/>
          <w:szCs w:val="22"/>
        </w:rPr>
        <w:t>laissez passer</w:t>
      </w:r>
      <w:r w:rsidRPr="001D15EE">
        <w:rPr>
          <w:rFonts w:asciiTheme="minorHAnsi" w:hAnsiTheme="minorHAnsi" w:cstheme="minorHAnsi"/>
          <w:sz w:val="22"/>
          <w:szCs w:val="22"/>
        </w:rPr>
        <w:t xml:space="preserve"> would be slim. The previous year (2007), no TCN had been expelled from the Netherlands to Iran. However, he had not specifically raised the argument </w:t>
      </w:r>
      <w:r w:rsidRPr="001D15EE">
        <w:rPr>
          <w:rFonts w:asciiTheme="minorHAnsi" w:hAnsiTheme="minorHAnsi" w:cstheme="minorHAnsi"/>
          <w:i/>
          <w:sz w:val="22"/>
          <w:szCs w:val="22"/>
        </w:rPr>
        <w:t>that the Iranian authorities were unwilling to facilitate involuntary return</w:t>
      </w:r>
      <w:r w:rsidRPr="001D15EE">
        <w:rPr>
          <w:rFonts w:asciiTheme="minorHAnsi" w:hAnsiTheme="minorHAnsi" w:cstheme="minorHAnsi"/>
          <w:sz w:val="22"/>
          <w:szCs w:val="22"/>
        </w:rPr>
        <w:t xml:space="preserve"> in the grounds of appeal. </w:t>
      </w:r>
    </w:p>
    <w:p w14:paraId="1B5982C9" w14:textId="5B98BBF9" w:rsidR="008B21CB" w:rsidRPr="001D15EE" w:rsidRDefault="008B21CB" w:rsidP="007F72D6">
      <w:pPr>
        <w:spacing w:line="276" w:lineRule="auto"/>
        <w:ind w:firstLine="708"/>
        <w:jc w:val="both"/>
        <w:rPr>
          <w:rFonts w:asciiTheme="minorHAnsi" w:hAnsiTheme="minorHAnsi" w:cstheme="minorHAnsi"/>
          <w:sz w:val="22"/>
          <w:szCs w:val="22"/>
        </w:rPr>
      </w:pPr>
      <w:r w:rsidRPr="001D15EE">
        <w:rPr>
          <w:rFonts w:asciiTheme="minorHAnsi" w:hAnsiTheme="minorHAnsi" w:cstheme="minorHAnsi"/>
          <w:sz w:val="22"/>
          <w:szCs w:val="22"/>
        </w:rPr>
        <w:t xml:space="preserve">The Secretary of State appealed this judgment before the Council of State, contesting the District Court’s ruling that </w:t>
      </w:r>
      <w:r w:rsidR="00BB1A23">
        <w:rPr>
          <w:rFonts w:asciiTheme="minorHAnsi" w:hAnsiTheme="minorHAnsi" w:cstheme="minorHAnsi"/>
          <w:sz w:val="22"/>
          <w:szCs w:val="22"/>
        </w:rPr>
        <w:t>the TCN</w:t>
      </w:r>
      <w:r w:rsidRPr="001D15EE">
        <w:rPr>
          <w:rFonts w:asciiTheme="minorHAnsi" w:hAnsiTheme="minorHAnsi" w:cstheme="minorHAnsi"/>
          <w:sz w:val="22"/>
          <w:szCs w:val="22"/>
        </w:rPr>
        <w:t xml:space="preserve"> could not be expected to declare that he </w:t>
      </w:r>
      <w:r w:rsidR="00BB1A23">
        <w:rPr>
          <w:rFonts w:asciiTheme="minorHAnsi" w:hAnsiTheme="minorHAnsi" w:cstheme="minorHAnsi"/>
          <w:sz w:val="22"/>
          <w:szCs w:val="22"/>
        </w:rPr>
        <w:t xml:space="preserve">was </w:t>
      </w:r>
      <w:r w:rsidRPr="001D15EE">
        <w:rPr>
          <w:rFonts w:asciiTheme="minorHAnsi" w:hAnsiTheme="minorHAnsi" w:cstheme="minorHAnsi"/>
          <w:sz w:val="22"/>
          <w:szCs w:val="22"/>
        </w:rPr>
        <w:t>w</w:t>
      </w:r>
      <w:r w:rsidR="00BB1A23">
        <w:rPr>
          <w:rFonts w:asciiTheme="minorHAnsi" w:hAnsiTheme="minorHAnsi" w:cstheme="minorHAnsi"/>
          <w:sz w:val="22"/>
          <w:szCs w:val="22"/>
        </w:rPr>
        <w:t>illing</w:t>
      </w:r>
      <w:r w:rsidRPr="001D15EE">
        <w:rPr>
          <w:rFonts w:asciiTheme="minorHAnsi" w:hAnsiTheme="minorHAnsi" w:cstheme="minorHAnsi"/>
          <w:sz w:val="22"/>
          <w:szCs w:val="22"/>
        </w:rPr>
        <w:t xml:space="preserve"> to return voluntarily. The Council of State ruled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that the District Court had acted contrary to Article 8:69 GALA. It noted that it did not follow from the official reports of the proceedings that the applicant had </w:t>
      </w:r>
      <w:r w:rsidR="006607A4" w:rsidRPr="001D15EE">
        <w:rPr>
          <w:rFonts w:asciiTheme="minorHAnsi" w:hAnsiTheme="minorHAnsi" w:cstheme="minorHAnsi"/>
          <w:sz w:val="22"/>
          <w:szCs w:val="22"/>
        </w:rPr>
        <w:t xml:space="preserve">raised the argument </w:t>
      </w:r>
      <w:r w:rsidRPr="001D15EE">
        <w:rPr>
          <w:rFonts w:asciiTheme="minorHAnsi" w:hAnsiTheme="minorHAnsi" w:cstheme="minorHAnsi"/>
          <w:sz w:val="22"/>
          <w:szCs w:val="22"/>
        </w:rPr>
        <w:t xml:space="preserve">in his appeal grounds that there was no prospect of removal </w:t>
      </w:r>
      <w:r w:rsidRPr="001D15EE">
        <w:rPr>
          <w:rFonts w:asciiTheme="minorHAnsi" w:hAnsiTheme="minorHAnsi" w:cstheme="minorHAnsi"/>
          <w:i/>
          <w:sz w:val="22"/>
          <w:szCs w:val="22"/>
        </w:rPr>
        <w:t>because the Iranian authorities required a statement of voluntary return</w:t>
      </w:r>
      <w:r w:rsidRPr="001D15EE">
        <w:rPr>
          <w:rFonts w:asciiTheme="minorHAnsi" w:hAnsiTheme="minorHAnsi" w:cstheme="minorHAnsi"/>
          <w:sz w:val="22"/>
          <w:szCs w:val="22"/>
        </w:rPr>
        <w:t>, which he did not want to provide. On this ground, the Council of State declared the appeal well-founded, annulled the judgment and referred the case back to the District Court.</w:t>
      </w:r>
      <w:r w:rsidRPr="001D15EE">
        <w:rPr>
          <w:rStyle w:val="FootnoteReference"/>
          <w:rFonts w:asciiTheme="minorHAnsi" w:hAnsiTheme="minorHAnsi" w:cstheme="minorHAnsi"/>
          <w:sz w:val="22"/>
          <w:szCs w:val="22"/>
        </w:rPr>
        <w:footnoteReference w:id="25"/>
      </w:r>
      <w:r w:rsidR="006607A4" w:rsidRPr="001D15EE">
        <w:rPr>
          <w:rFonts w:asciiTheme="minorHAnsi" w:hAnsiTheme="minorHAnsi" w:cstheme="minorHAnsi"/>
          <w:sz w:val="22"/>
          <w:szCs w:val="22"/>
        </w:rPr>
        <w:t xml:space="preserve"> This example demonstrates how </w:t>
      </w:r>
      <w:r w:rsidR="00D84FCA">
        <w:rPr>
          <w:rFonts w:asciiTheme="minorHAnsi" w:hAnsiTheme="minorHAnsi" w:cstheme="minorHAnsi"/>
          <w:sz w:val="22"/>
          <w:szCs w:val="22"/>
        </w:rPr>
        <w:t>re</w:t>
      </w:r>
      <w:r w:rsidR="006607A4" w:rsidRPr="001D15EE">
        <w:rPr>
          <w:rFonts w:asciiTheme="minorHAnsi" w:hAnsiTheme="minorHAnsi" w:cstheme="minorHAnsi"/>
          <w:sz w:val="22"/>
          <w:szCs w:val="22"/>
        </w:rPr>
        <w:t>strict</w:t>
      </w:r>
      <w:r w:rsidR="00D84FCA">
        <w:rPr>
          <w:rFonts w:asciiTheme="minorHAnsi" w:hAnsiTheme="minorHAnsi" w:cstheme="minorHAnsi"/>
          <w:sz w:val="22"/>
          <w:szCs w:val="22"/>
        </w:rPr>
        <w:t>ively</w:t>
      </w:r>
      <w:r w:rsidR="006607A4" w:rsidRPr="001D15EE">
        <w:rPr>
          <w:rFonts w:asciiTheme="minorHAnsi" w:hAnsiTheme="minorHAnsi" w:cstheme="minorHAnsi"/>
          <w:sz w:val="22"/>
          <w:szCs w:val="22"/>
        </w:rPr>
        <w:t xml:space="preserve"> the Council of State interprets the District Court’s competence to supplement the legal grounds and the factual elements. It was not sufficient that the TCN claimed that there was no prospect of removal to Iran. He should also have mentioned all relevant arguments substantiating this claim. </w:t>
      </w:r>
    </w:p>
    <w:p w14:paraId="702FAA0D" w14:textId="396CD031" w:rsidR="008B21CB" w:rsidRPr="001D15EE" w:rsidRDefault="008B21CB" w:rsidP="007F72D6">
      <w:pPr>
        <w:spacing w:line="276" w:lineRule="auto"/>
        <w:jc w:val="both"/>
        <w:rPr>
          <w:rFonts w:asciiTheme="minorHAnsi" w:hAnsiTheme="minorHAnsi" w:cstheme="minorHAnsi"/>
          <w:b/>
          <w:bCs/>
          <w:sz w:val="22"/>
          <w:szCs w:val="22"/>
        </w:rPr>
      </w:pPr>
    </w:p>
    <w:p w14:paraId="010646D4" w14:textId="77777777" w:rsidR="00050790" w:rsidRDefault="00050790">
      <w:pPr>
        <w:rPr>
          <w:rFonts w:asciiTheme="minorHAnsi" w:hAnsiTheme="minorHAnsi" w:cstheme="minorHAnsi"/>
          <w:b/>
          <w:bCs/>
          <w:sz w:val="22"/>
          <w:szCs w:val="22"/>
        </w:rPr>
      </w:pPr>
      <w:r>
        <w:rPr>
          <w:rFonts w:asciiTheme="minorHAnsi" w:hAnsiTheme="minorHAnsi" w:cstheme="minorHAnsi"/>
          <w:b/>
          <w:bCs/>
          <w:sz w:val="22"/>
          <w:szCs w:val="22"/>
        </w:rPr>
        <w:br w:type="page"/>
      </w:r>
    </w:p>
    <w:p w14:paraId="5457CED1" w14:textId="1F0E41FD" w:rsidR="006607A4" w:rsidRPr="001D15EE" w:rsidRDefault="006607A4" w:rsidP="007F72D6">
      <w:pPr>
        <w:spacing w:line="276" w:lineRule="auto"/>
        <w:jc w:val="both"/>
        <w:rPr>
          <w:rFonts w:asciiTheme="minorHAnsi" w:hAnsiTheme="minorHAnsi" w:cstheme="minorHAnsi"/>
          <w:b/>
          <w:bCs/>
          <w:sz w:val="22"/>
          <w:szCs w:val="22"/>
        </w:rPr>
      </w:pPr>
      <w:r w:rsidRPr="001D15EE">
        <w:rPr>
          <w:rFonts w:asciiTheme="minorHAnsi" w:hAnsiTheme="minorHAnsi" w:cstheme="minorHAnsi"/>
          <w:b/>
          <w:bCs/>
          <w:sz w:val="22"/>
          <w:szCs w:val="22"/>
        </w:rPr>
        <w:lastRenderedPageBreak/>
        <w:t xml:space="preserve">Example 2: Lack of due diligence </w:t>
      </w:r>
      <w:r w:rsidR="00BB1A23">
        <w:rPr>
          <w:rFonts w:asciiTheme="minorHAnsi" w:hAnsiTheme="minorHAnsi" w:cstheme="minorHAnsi"/>
          <w:b/>
          <w:bCs/>
          <w:sz w:val="22"/>
          <w:szCs w:val="22"/>
        </w:rPr>
        <w:t>on the part</w:t>
      </w:r>
      <w:r w:rsidRPr="001D15EE">
        <w:rPr>
          <w:rFonts w:asciiTheme="minorHAnsi" w:hAnsiTheme="minorHAnsi" w:cstheme="minorHAnsi"/>
          <w:b/>
          <w:bCs/>
          <w:sz w:val="22"/>
          <w:szCs w:val="22"/>
        </w:rPr>
        <w:t xml:space="preserve"> of the State</w:t>
      </w:r>
      <w:r w:rsidRPr="001D15EE">
        <w:rPr>
          <w:rStyle w:val="FootnoteReference"/>
          <w:rFonts w:asciiTheme="minorHAnsi" w:hAnsiTheme="minorHAnsi" w:cstheme="minorHAnsi"/>
          <w:b/>
          <w:bCs/>
          <w:sz w:val="22"/>
          <w:szCs w:val="22"/>
        </w:rPr>
        <w:footnoteReference w:id="26"/>
      </w:r>
    </w:p>
    <w:p w14:paraId="47A60D14" w14:textId="3E97B854" w:rsidR="006607A4" w:rsidRPr="001D15EE" w:rsidRDefault="006607A4"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The </w:t>
      </w:r>
      <w:r w:rsidR="00697032">
        <w:rPr>
          <w:rFonts w:asciiTheme="minorHAnsi" w:hAnsiTheme="minorHAnsi" w:cstheme="minorHAnsi"/>
          <w:sz w:val="22"/>
          <w:szCs w:val="22"/>
        </w:rPr>
        <w:t>second</w:t>
      </w:r>
      <w:r w:rsidRPr="001D15EE">
        <w:rPr>
          <w:rFonts w:asciiTheme="minorHAnsi" w:hAnsiTheme="minorHAnsi" w:cstheme="minorHAnsi"/>
          <w:sz w:val="22"/>
          <w:szCs w:val="22"/>
        </w:rPr>
        <w:t xml:space="preserve"> example concerns a case in which the District Court ruled that the State had not acted with due diligence to remove the TCN. </w:t>
      </w:r>
      <w:r w:rsidR="00484E0C">
        <w:rPr>
          <w:rFonts w:asciiTheme="minorHAnsi" w:hAnsiTheme="minorHAnsi" w:cstheme="minorHAnsi"/>
          <w:sz w:val="22"/>
          <w:szCs w:val="22"/>
        </w:rPr>
        <w:t>D</w:t>
      </w:r>
      <w:r w:rsidRPr="001D15EE">
        <w:rPr>
          <w:rFonts w:asciiTheme="minorHAnsi" w:hAnsiTheme="minorHAnsi" w:cstheme="minorHAnsi"/>
          <w:sz w:val="22"/>
          <w:szCs w:val="22"/>
        </w:rPr>
        <w:t xml:space="preserve">uring the hearing preceding the detention measure, </w:t>
      </w:r>
      <w:r w:rsidR="00484E0C">
        <w:rPr>
          <w:rFonts w:asciiTheme="minorHAnsi" w:hAnsiTheme="minorHAnsi" w:cstheme="minorHAnsi"/>
          <w:sz w:val="22"/>
          <w:szCs w:val="22"/>
        </w:rPr>
        <w:t xml:space="preserve">the TCN had stated </w:t>
      </w:r>
      <w:r w:rsidRPr="001D15EE">
        <w:rPr>
          <w:rFonts w:asciiTheme="minorHAnsi" w:hAnsiTheme="minorHAnsi" w:cstheme="minorHAnsi"/>
          <w:sz w:val="22"/>
          <w:szCs w:val="22"/>
        </w:rPr>
        <w:t xml:space="preserve">that his passport was at </w:t>
      </w:r>
      <w:r w:rsidR="00484E0C">
        <w:rPr>
          <w:rFonts w:asciiTheme="minorHAnsi" w:hAnsiTheme="minorHAnsi" w:cstheme="minorHAnsi"/>
          <w:sz w:val="22"/>
          <w:szCs w:val="22"/>
        </w:rPr>
        <w:t>the</w:t>
      </w:r>
      <w:r w:rsidRPr="001D15EE">
        <w:rPr>
          <w:rFonts w:asciiTheme="minorHAnsi" w:hAnsiTheme="minorHAnsi" w:cstheme="minorHAnsi"/>
          <w:sz w:val="22"/>
          <w:szCs w:val="22"/>
        </w:rPr>
        <w:t xml:space="preserve"> house</w:t>
      </w:r>
      <w:r w:rsidR="00484E0C">
        <w:rPr>
          <w:rFonts w:asciiTheme="minorHAnsi" w:hAnsiTheme="minorHAnsi" w:cstheme="minorHAnsi"/>
          <w:sz w:val="22"/>
          <w:szCs w:val="22"/>
        </w:rPr>
        <w:t xml:space="preserve"> of a friend</w:t>
      </w:r>
      <w:r w:rsidRPr="001D15EE">
        <w:rPr>
          <w:rFonts w:asciiTheme="minorHAnsi" w:hAnsiTheme="minorHAnsi" w:cstheme="minorHAnsi"/>
          <w:sz w:val="22"/>
          <w:szCs w:val="22"/>
        </w:rPr>
        <w:t xml:space="preserve">. The TCN had been given the opportunity to contact his friend and ask him to bring the passport to the Aliens Police. However, at the time of the court hearing, this had not happened </w:t>
      </w:r>
      <w:r w:rsidR="00790B20">
        <w:rPr>
          <w:rFonts w:asciiTheme="minorHAnsi" w:hAnsiTheme="minorHAnsi" w:cstheme="minorHAnsi"/>
          <w:sz w:val="22"/>
          <w:szCs w:val="22"/>
        </w:rPr>
        <w:t xml:space="preserve">but neither had </w:t>
      </w:r>
      <w:r w:rsidRPr="001D15EE">
        <w:rPr>
          <w:rFonts w:asciiTheme="minorHAnsi" w:hAnsiTheme="minorHAnsi" w:cstheme="minorHAnsi"/>
          <w:sz w:val="22"/>
          <w:szCs w:val="22"/>
        </w:rPr>
        <w:t xml:space="preserve">the State taken any further action. The District Court found that the State should have contacted the TCN because he did not comply with his </w:t>
      </w:r>
      <w:r w:rsidR="00341110">
        <w:rPr>
          <w:rFonts w:asciiTheme="minorHAnsi" w:hAnsiTheme="minorHAnsi" w:cstheme="minorHAnsi"/>
          <w:sz w:val="22"/>
          <w:szCs w:val="22"/>
        </w:rPr>
        <w:t>agreement</w:t>
      </w:r>
      <w:r w:rsidRPr="001D15EE">
        <w:rPr>
          <w:rFonts w:asciiTheme="minorHAnsi" w:hAnsiTheme="minorHAnsi" w:cstheme="minorHAnsi"/>
          <w:sz w:val="22"/>
          <w:szCs w:val="22"/>
        </w:rPr>
        <w:t xml:space="preserve"> to get the passport. The </w:t>
      </w:r>
      <w:r w:rsidR="00341110">
        <w:rPr>
          <w:rFonts w:asciiTheme="minorHAnsi" w:hAnsiTheme="minorHAnsi" w:cstheme="minorHAnsi"/>
          <w:sz w:val="22"/>
          <w:szCs w:val="22"/>
        </w:rPr>
        <w:t>District C</w:t>
      </w:r>
      <w:r w:rsidRPr="001D15EE">
        <w:rPr>
          <w:rFonts w:asciiTheme="minorHAnsi" w:hAnsiTheme="minorHAnsi" w:cstheme="minorHAnsi"/>
          <w:sz w:val="22"/>
          <w:szCs w:val="22"/>
        </w:rPr>
        <w:t xml:space="preserve">ourt noted in this regard that the TCN stated during the court hearing that he had the key </w:t>
      </w:r>
      <w:r w:rsidR="00341110">
        <w:rPr>
          <w:rFonts w:asciiTheme="minorHAnsi" w:hAnsiTheme="minorHAnsi" w:cstheme="minorHAnsi"/>
          <w:sz w:val="22"/>
          <w:szCs w:val="22"/>
        </w:rPr>
        <w:t>to</w:t>
      </w:r>
      <w:r w:rsidRPr="001D15EE">
        <w:rPr>
          <w:rFonts w:asciiTheme="minorHAnsi" w:hAnsiTheme="minorHAnsi" w:cstheme="minorHAnsi"/>
          <w:sz w:val="22"/>
          <w:szCs w:val="22"/>
        </w:rPr>
        <w:t xml:space="preserve"> </w:t>
      </w:r>
      <w:r w:rsidR="00341110">
        <w:rPr>
          <w:rFonts w:asciiTheme="minorHAnsi" w:hAnsiTheme="minorHAnsi" w:cstheme="minorHAnsi"/>
          <w:sz w:val="22"/>
          <w:szCs w:val="22"/>
        </w:rPr>
        <w:t>the</w:t>
      </w:r>
      <w:r w:rsidRPr="001D15EE">
        <w:rPr>
          <w:rFonts w:asciiTheme="minorHAnsi" w:hAnsiTheme="minorHAnsi" w:cstheme="minorHAnsi"/>
          <w:sz w:val="22"/>
          <w:szCs w:val="22"/>
        </w:rPr>
        <w:t xml:space="preserve"> friend’s house and thus could have fetched the passport himself while under police supervision.</w:t>
      </w:r>
      <w:r w:rsidR="00341110">
        <w:rPr>
          <w:rFonts w:asciiTheme="minorHAnsi" w:hAnsiTheme="minorHAnsi" w:cstheme="minorHAnsi"/>
          <w:sz w:val="22"/>
          <w:szCs w:val="22"/>
        </w:rPr>
        <w:t xml:space="preserve"> </w:t>
      </w:r>
      <w:r w:rsidR="00790B20">
        <w:rPr>
          <w:rFonts w:asciiTheme="minorHAnsi" w:hAnsiTheme="minorHAnsi" w:cstheme="minorHAnsi"/>
          <w:sz w:val="22"/>
          <w:szCs w:val="22"/>
        </w:rPr>
        <w:t>The detention was found unlawful on the ground that the State had not acted with due diligence.</w:t>
      </w:r>
      <w:r w:rsidR="00697032">
        <w:rPr>
          <w:rStyle w:val="FootnoteReference"/>
          <w:rFonts w:asciiTheme="minorHAnsi" w:hAnsiTheme="minorHAnsi" w:cstheme="minorHAnsi"/>
          <w:sz w:val="22"/>
          <w:szCs w:val="22"/>
        </w:rPr>
        <w:footnoteReference w:id="27"/>
      </w:r>
    </w:p>
    <w:p w14:paraId="48509A59" w14:textId="1590E998" w:rsidR="006607A4" w:rsidRPr="001D15EE" w:rsidRDefault="006607A4" w:rsidP="007F72D6">
      <w:pPr>
        <w:pStyle w:val="Default"/>
        <w:spacing w:line="276" w:lineRule="auto"/>
        <w:jc w:val="both"/>
        <w:rPr>
          <w:rFonts w:asciiTheme="minorHAnsi" w:hAnsiTheme="minorHAnsi" w:cstheme="minorHAnsi"/>
          <w:sz w:val="22"/>
          <w:szCs w:val="22"/>
          <w:lang w:val="en-GB"/>
        </w:rPr>
      </w:pPr>
      <w:r w:rsidRPr="001D15EE">
        <w:rPr>
          <w:rFonts w:asciiTheme="minorHAnsi" w:hAnsiTheme="minorHAnsi" w:cstheme="minorHAnsi"/>
          <w:sz w:val="22"/>
          <w:szCs w:val="22"/>
          <w:lang w:val="en-GB"/>
        </w:rPr>
        <w:tab/>
        <w:t xml:space="preserve">The Secretary of State appealed this judgment before the Council of State. He argued that it was reasonable to wait until the TCN </w:t>
      </w:r>
      <w:r w:rsidR="00341110">
        <w:rPr>
          <w:rFonts w:asciiTheme="minorHAnsi" w:hAnsiTheme="minorHAnsi" w:cstheme="minorHAnsi"/>
          <w:sz w:val="22"/>
          <w:szCs w:val="22"/>
          <w:lang w:val="en-GB"/>
        </w:rPr>
        <w:t>ha</w:t>
      </w:r>
      <w:r w:rsidRPr="001D15EE">
        <w:rPr>
          <w:rFonts w:asciiTheme="minorHAnsi" w:hAnsiTheme="minorHAnsi" w:cstheme="minorHAnsi"/>
          <w:sz w:val="22"/>
          <w:szCs w:val="22"/>
          <w:lang w:val="en-GB"/>
        </w:rPr>
        <w:t>d fulfil</w:t>
      </w:r>
      <w:r w:rsidR="00341110">
        <w:rPr>
          <w:rFonts w:asciiTheme="minorHAnsi" w:hAnsiTheme="minorHAnsi" w:cstheme="minorHAnsi"/>
          <w:sz w:val="22"/>
          <w:szCs w:val="22"/>
          <w:lang w:val="en-GB"/>
        </w:rPr>
        <w:t>led</w:t>
      </w:r>
      <w:r w:rsidRPr="001D15EE">
        <w:rPr>
          <w:rFonts w:asciiTheme="minorHAnsi" w:hAnsiTheme="minorHAnsi" w:cstheme="minorHAnsi"/>
          <w:sz w:val="22"/>
          <w:szCs w:val="22"/>
          <w:lang w:val="en-GB"/>
        </w:rPr>
        <w:t xml:space="preserve"> his </w:t>
      </w:r>
      <w:r w:rsidR="00341110">
        <w:rPr>
          <w:rFonts w:asciiTheme="minorHAnsi" w:hAnsiTheme="minorHAnsi" w:cstheme="minorHAnsi"/>
          <w:sz w:val="22"/>
          <w:szCs w:val="22"/>
          <w:lang w:val="en-GB"/>
        </w:rPr>
        <w:t xml:space="preserve">undertaking to </w:t>
      </w:r>
      <w:r w:rsidRPr="001D15EE">
        <w:rPr>
          <w:rFonts w:asciiTheme="minorHAnsi" w:hAnsiTheme="minorHAnsi" w:cstheme="minorHAnsi"/>
          <w:sz w:val="22"/>
          <w:szCs w:val="22"/>
          <w:lang w:val="en-GB"/>
        </w:rPr>
        <w:t xml:space="preserve">get the passport. Moreover, he submitted that he did not know until the court hearing that the TCN had the key </w:t>
      </w:r>
      <w:r w:rsidR="00341110">
        <w:rPr>
          <w:rFonts w:asciiTheme="minorHAnsi" w:hAnsiTheme="minorHAnsi" w:cstheme="minorHAnsi"/>
          <w:sz w:val="22"/>
          <w:szCs w:val="22"/>
          <w:lang w:val="en-GB"/>
        </w:rPr>
        <w:t>to</w:t>
      </w:r>
      <w:r w:rsidRPr="001D15EE">
        <w:rPr>
          <w:rFonts w:asciiTheme="minorHAnsi" w:hAnsiTheme="minorHAnsi" w:cstheme="minorHAnsi"/>
          <w:sz w:val="22"/>
          <w:szCs w:val="22"/>
          <w:lang w:val="en-GB"/>
        </w:rPr>
        <w:t xml:space="preserve"> </w:t>
      </w:r>
      <w:r w:rsidR="00341110">
        <w:rPr>
          <w:rFonts w:asciiTheme="minorHAnsi" w:hAnsiTheme="minorHAnsi" w:cstheme="minorHAnsi"/>
          <w:sz w:val="22"/>
          <w:szCs w:val="22"/>
          <w:lang w:val="en-GB"/>
        </w:rPr>
        <w:t>the</w:t>
      </w:r>
      <w:r w:rsidRPr="001D15EE">
        <w:rPr>
          <w:rFonts w:asciiTheme="minorHAnsi" w:hAnsiTheme="minorHAnsi" w:cstheme="minorHAnsi"/>
          <w:sz w:val="22"/>
          <w:szCs w:val="22"/>
          <w:lang w:val="en-GB"/>
        </w:rPr>
        <w:t xml:space="preserve"> house. The Council of State, again </w:t>
      </w:r>
      <w:r w:rsidRPr="001D15EE">
        <w:rPr>
          <w:rFonts w:asciiTheme="minorHAnsi" w:hAnsiTheme="minorHAnsi" w:cstheme="minorHAnsi"/>
          <w:i/>
          <w:iCs/>
          <w:sz w:val="22"/>
          <w:szCs w:val="22"/>
          <w:lang w:val="en-GB"/>
        </w:rPr>
        <w:t>ex officio</w:t>
      </w:r>
      <w:r w:rsidRPr="001D15EE">
        <w:rPr>
          <w:rFonts w:asciiTheme="minorHAnsi" w:hAnsiTheme="minorHAnsi" w:cstheme="minorHAnsi"/>
          <w:sz w:val="22"/>
          <w:szCs w:val="22"/>
          <w:lang w:val="en-GB"/>
        </w:rPr>
        <w:t xml:space="preserve">, considered that it did not follow from the grounds of appeal, nor the records of the hearing that the TCN had submitted that the State did not act with due diligence. Moreover, it held that </w:t>
      </w:r>
      <w:r w:rsidR="00790B20">
        <w:rPr>
          <w:rFonts w:asciiTheme="minorHAnsi" w:hAnsiTheme="minorHAnsi" w:cstheme="minorHAnsi"/>
          <w:sz w:val="22"/>
          <w:szCs w:val="22"/>
          <w:lang w:val="en-GB"/>
        </w:rPr>
        <w:t xml:space="preserve">the existence of </w:t>
      </w:r>
      <w:r w:rsidRPr="001D15EE">
        <w:rPr>
          <w:rFonts w:asciiTheme="minorHAnsi" w:hAnsiTheme="minorHAnsi" w:cstheme="minorHAnsi"/>
          <w:sz w:val="22"/>
          <w:szCs w:val="22"/>
          <w:lang w:val="en-GB"/>
        </w:rPr>
        <w:t xml:space="preserve">due diligence may not be examined </w:t>
      </w:r>
      <w:r w:rsidRPr="001D15EE">
        <w:rPr>
          <w:rFonts w:asciiTheme="minorHAnsi" w:hAnsiTheme="minorHAnsi" w:cstheme="minorHAnsi"/>
          <w:i/>
          <w:iCs/>
          <w:sz w:val="22"/>
          <w:szCs w:val="22"/>
          <w:lang w:val="en-GB"/>
        </w:rPr>
        <w:t>ex officio</w:t>
      </w:r>
      <w:r w:rsidRPr="001D15EE">
        <w:rPr>
          <w:rFonts w:asciiTheme="minorHAnsi" w:hAnsiTheme="minorHAnsi" w:cstheme="minorHAnsi"/>
          <w:sz w:val="22"/>
          <w:szCs w:val="22"/>
          <w:lang w:val="en-GB"/>
        </w:rPr>
        <w:t xml:space="preserve"> by the District Court, because it does not concern a provision of public order. Therefore, according to the Council of State, the District Court acted contrary to Article 8:69 GALA. Without further reasoning, it declared the appeal well-founded, annulled the judgment of the District Court and referred the case back to the District Court.</w:t>
      </w:r>
      <w:r w:rsidRPr="001D15EE">
        <w:rPr>
          <w:rStyle w:val="FootnoteReference"/>
          <w:rFonts w:asciiTheme="minorHAnsi" w:hAnsiTheme="minorHAnsi" w:cstheme="minorHAnsi"/>
          <w:sz w:val="22"/>
          <w:szCs w:val="22"/>
          <w:lang w:val="en-GB"/>
        </w:rPr>
        <w:footnoteReference w:id="28"/>
      </w:r>
    </w:p>
    <w:p w14:paraId="1E7BB2A8" w14:textId="76D16783" w:rsidR="006607A4" w:rsidRPr="001D15EE" w:rsidRDefault="006607A4" w:rsidP="007F72D6">
      <w:pPr>
        <w:spacing w:line="276" w:lineRule="auto"/>
        <w:jc w:val="both"/>
        <w:rPr>
          <w:rFonts w:asciiTheme="minorHAnsi" w:hAnsiTheme="minorHAnsi" w:cstheme="minorHAnsi"/>
          <w:b/>
          <w:bCs/>
          <w:sz w:val="22"/>
          <w:szCs w:val="22"/>
        </w:rPr>
      </w:pPr>
    </w:p>
    <w:p w14:paraId="161D6318" w14:textId="5F6102AE" w:rsidR="006607A4" w:rsidRPr="001D15EE" w:rsidRDefault="006607A4" w:rsidP="007F72D6">
      <w:pPr>
        <w:spacing w:line="276" w:lineRule="auto"/>
        <w:jc w:val="both"/>
        <w:rPr>
          <w:rFonts w:asciiTheme="minorHAnsi" w:hAnsiTheme="minorHAnsi" w:cstheme="minorHAnsi"/>
          <w:b/>
          <w:bCs/>
          <w:sz w:val="22"/>
          <w:szCs w:val="22"/>
        </w:rPr>
      </w:pPr>
      <w:r w:rsidRPr="001D15EE">
        <w:rPr>
          <w:rFonts w:asciiTheme="minorHAnsi" w:hAnsiTheme="minorHAnsi" w:cstheme="minorHAnsi"/>
          <w:b/>
          <w:bCs/>
          <w:sz w:val="22"/>
          <w:szCs w:val="22"/>
        </w:rPr>
        <w:t xml:space="preserve">Example 3: Late prolongation decision </w:t>
      </w:r>
    </w:p>
    <w:p w14:paraId="006F5D33" w14:textId="76373275" w:rsidR="006607A4" w:rsidRPr="001D15EE" w:rsidRDefault="006607A4"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This example concerns a case in which the decision to prolong the detention of the TCN was taken one day after the six months maximum period of detention had expired. The District Court referred to the Council of State’s case law, which regarded the detention measure unlawful in such a situation.</w:t>
      </w:r>
      <w:r w:rsidRPr="001D15EE">
        <w:rPr>
          <w:rStyle w:val="FootnoteReference"/>
          <w:rFonts w:asciiTheme="minorHAnsi" w:hAnsiTheme="minorHAnsi" w:cstheme="minorHAnsi"/>
          <w:sz w:val="22"/>
          <w:szCs w:val="22"/>
        </w:rPr>
        <w:footnoteReference w:id="29"/>
      </w:r>
      <w:r w:rsidRPr="001D15EE">
        <w:rPr>
          <w:rFonts w:asciiTheme="minorHAnsi" w:hAnsiTheme="minorHAnsi" w:cstheme="minorHAnsi"/>
          <w:sz w:val="22"/>
          <w:szCs w:val="22"/>
        </w:rPr>
        <w:t xml:space="preserve"> The TCN appealed the decision to prolong the detention </w:t>
      </w:r>
      <w:r w:rsidR="00EC6EB1" w:rsidRPr="001D15EE">
        <w:rPr>
          <w:rFonts w:asciiTheme="minorHAnsi" w:hAnsiTheme="minorHAnsi" w:cstheme="minorHAnsi"/>
          <w:sz w:val="22"/>
          <w:szCs w:val="22"/>
        </w:rPr>
        <w:t>and pleaded for its lifting. However, the TCN</w:t>
      </w:r>
      <w:r w:rsidRPr="001D15EE">
        <w:rPr>
          <w:rFonts w:asciiTheme="minorHAnsi" w:hAnsiTheme="minorHAnsi" w:cstheme="minorHAnsi"/>
          <w:sz w:val="22"/>
          <w:szCs w:val="22"/>
        </w:rPr>
        <w:t xml:space="preserve"> did not </w:t>
      </w:r>
      <w:r w:rsidR="00EC6EB1" w:rsidRPr="001D15EE">
        <w:rPr>
          <w:rFonts w:asciiTheme="minorHAnsi" w:hAnsiTheme="minorHAnsi" w:cstheme="minorHAnsi"/>
          <w:sz w:val="22"/>
          <w:szCs w:val="22"/>
        </w:rPr>
        <w:t>specifically raise the argument that this decision</w:t>
      </w:r>
      <w:r w:rsidRPr="001D15EE">
        <w:rPr>
          <w:rFonts w:asciiTheme="minorHAnsi" w:hAnsiTheme="minorHAnsi" w:cstheme="minorHAnsi"/>
          <w:sz w:val="22"/>
          <w:szCs w:val="22"/>
        </w:rPr>
        <w:t xml:space="preserve"> was taken </w:t>
      </w:r>
      <w:r w:rsidRPr="001D15EE">
        <w:rPr>
          <w:rFonts w:asciiTheme="minorHAnsi" w:hAnsiTheme="minorHAnsi" w:cstheme="minorHAnsi"/>
          <w:i/>
          <w:sz w:val="22"/>
          <w:szCs w:val="22"/>
        </w:rPr>
        <w:t>after the maximum detention period of six months</w:t>
      </w:r>
      <w:r w:rsidRPr="001D15EE">
        <w:rPr>
          <w:rFonts w:asciiTheme="minorHAnsi" w:hAnsiTheme="minorHAnsi" w:cstheme="minorHAnsi"/>
          <w:sz w:val="22"/>
          <w:szCs w:val="22"/>
        </w:rPr>
        <w:t xml:space="preserve">. For this reason, the District Court could only address this unlawfulness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The District Court considered the statutory maximum duration of detention of six months, before which a prolongation decision is to be taken</w:t>
      </w:r>
      <w:r w:rsidRPr="001D15EE">
        <w:rPr>
          <w:rStyle w:val="FootnoteReference"/>
          <w:rFonts w:asciiTheme="minorHAnsi" w:hAnsiTheme="minorHAnsi" w:cstheme="minorHAnsi"/>
          <w:sz w:val="22"/>
          <w:szCs w:val="22"/>
        </w:rPr>
        <w:footnoteReference w:id="30"/>
      </w:r>
      <w:r w:rsidRPr="001D15EE">
        <w:rPr>
          <w:rFonts w:asciiTheme="minorHAnsi" w:hAnsiTheme="minorHAnsi" w:cstheme="minorHAnsi"/>
          <w:sz w:val="22"/>
          <w:szCs w:val="22"/>
        </w:rPr>
        <w:t xml:space="preserve"> to be of ‘public order’. It declared the detention measure unlawful and released the TCN.</w:t>
      </w:r>
      <w:r w:rsidRPr="001D15EE">
        <w:rPr>
          <w:rStyle w:val="FootnoteReference"/>
          <w:rFonts w:asciiTheme="minorHAnsi" w:hAnsiTheme="minorHAnsi" w:cstheme="minorHAnsi"/>
          <w:sz w:val="22"/>
          <w:szCs w:val="22"/>
        </w:rPr>
        <w:footnoteReference w:id="31"/>
      </w:r>
      <w:r w:rsidR="00FF781D">
        <w:rPr>
          <w:rFonts w:asciiTheme="minorHAnsi" w:hAnsiTheme="minorHAnsi" w:cstheme="minorHAnsi"/>
          <w:sz w:val="22"/>
          <w:szCs w:val="22"/>
        </w:rPr>
        <w:t xml:space="preserve"> </w:t>
      </w:r>
      <w:r w:rsidR="00771719" w:rsidRPr="001D15EE">
        <w:rPr>
          <w:rFonts w:asciiTheme="minorHAnsi" w:hAnsiTheme="minorHAnsi" w:cstheme="minorHAnsi"/>
          <w:sz w:val="22"/>
          <w:szCs w:val="22"/>
        </w:rPr>
        <w:t xml:space="preserve">The District Court noted that it follows from the notification procedure laid down in Article 94(2) Aliens Act that it was the intention of the legislator that the District Court would assess whether the maximum duration of the detention had been exceeded, also if the TCN did not lodge an appeal themselves. </w:t>
      </w:r>
    </w:p>
    <w:p w14:paraId="1D5BE7CA" w14:textId="3444CA3D" w:rsidR="00EC6EB1" w:rsidRPr="001D15EE" w:rsidRDefault="006607A4" w:rsidP="007F72D6">
      <w:pPr>
        <w:spacing w:line="276" w:lineRule="auto"/>
        <w:ind w:firstLine="720"/>
        <w:jc w:val="both"/>
        <w:rPr>
          <w:rFonts w:asciiTheme="minorHAnsi" w:hAnsiTheme="minorHAnsi" w:cstheme="minorHAnsi"/>
          <w:sz w:val="22"/>
          <w:szCs w:val="22"/>
        </w:rPr>
      </w:pPr>
      <w:r w:rsidRPr="001D15EE">
        <w:rPr>
          <w:rFonts w:asciiTheme="minorHAnsi" w:hAnsiTheme="minorHAnsi" w:cstheme="minorHAnsi"/>
          <w:sz w:val="22"/>
          <w:szCs w:val="22"/>
        </w:rPr>
        <w:t xml:space="preserve">The Secretary of State appealed this judgment before the Council of State, arguing that the District Court </w:t>
      </w:r>
      <w:r w:rsidR="00EC6EB1" w:rsidRPr="001D15EE">
        <w:rPr>
          <w:rFonts w:asciiTheme="minorHAnsi" w:hAnsiTheme="minorHAnsi" w:cstheme="minorHAnsi"/>
          <w:sz w:val="22"/>
          <w:szCs w:val="22"/>
        </w:rPr>
        <w:t>acted contrary to</w:t>
      </w:r>
      <w:r w:rsidRPr="001D15EE">
        <w:rPr>
          <w:rFonts w:asciiTheme="minorHAnsi" w:hAnsiTheme="minorHAnsi" w:cstheme="minorHAnsi"/>
          <w:sz w:val="22"/>
          <w:szCs w:val="22"/>
        </w:rPr>
        <w:t xml:space="preserve"> Article 8:69 GALA by considering the maximum duration of the detention of six months to be of ‘public order’. According to the Secretary of State, the maximum </w:t>
      </w:r>
      <w:r w:rsidRPr="001D15EE">
        <w:rPr>
          <w:rFonts w:asciiTheme="minorHAnsi" w:hAnsiTheme="minorHAnsi" w:cstheme="minorHAnsi"/>
          <w:sz w:val="22"/>
          <w:szCs w:val="22"/>
        </w:rPr>
        <w:lastRenderedPageBreak/>
        <w:t>duration of the detention measure does not constitute a core element of the Dutch legal order. It is an interest, which detainees should protect themselves. The Council of State agreed with the Secretary of State and considered that the maximum duration of the detention measure does not need to be ensured irrespective of the will, knowledge</w:t>
      </w:r>
      <w:r w:rsidR="00BB1A23">
        <w:rPr>
          <w:rFonts w:asciiTheme="minorHAnsi" w:hAnsiTheme="minorHAnsi" w:cstheme="minorHAnsi"/>
          <w:sz w:val="22"/>
          <w:szCs w:val="22"/>
        </w:rPr>
        <w:t>,</w:t>
      </w:r>
      <w:r w:rsidRPr="001D15EE">
        <w:rPr>
          <w:rFonts w:asciiTheme="minorHAnsi" w:hAnsiTheme="minorHAnsi" w:cstheme="minorHAnsi"/>
          <w:sz w:val="22"/>
          <w:szCs w:val="22"/>
        </w:rPr>
        <w:t xml:space="preserve"> or interest of the parties and that it also does not affect the competence of the court.</w:t>
      </w:r>
      <w:r w:rsidRPr="001D15EE">
        <w:rPr>
          <w:rStyle w:val="FootnoteReference"/>
          <w:rFonts w:asciiTheme="minorHAnsi" w:hAnsiTheme="minorHAnsi" w:cstheme="minorHAnsi"/>
          <w:sz w:val="22"/>
          <w:szCs w:val="22"/>
        </w:rPr>
        <w:t xml:space="preserve"> </w:t>
      </w:r>
      <w:r w:rsidR="00FF781D">
        <w:rPr>
          <w:rFonts w:asciiTheme="minorHAnsi" w:hAnsiTheme="minorHAnsi" w:cstheme="minorHAnsi"/>
          <w:sz w:val="22"/>
          <w:szCs w:val="22"/>
        </w:rPr>
        <w:t>O</w:t>
      </w:r>
      <w:r w:rsidRPr="001D15EE">
        <w:rPr>
          <w:rFonts w:asciiTheme="minorHAnsi" w:hAnsiTheme="minorHAnsi" w:cstheme="minorHAnsi"/>
          <w:sz w:val="22"/>
          <w:szCs w:val="22"/>
        </w:rPr>
        <w:t xml:space="preserve">n the basis of the official reports and the applicant’s written submissions in the proceedings before the District Court, </w:t>
      </w:r>
      <w:r w:rsidR="00FF781D">
        <w:rPr>
          <w:rFonts w:asciiTheme="minorHAnsi" w:hAnsiTheme="minorHAnsi" w:cstheme="minorHAnsi"/>
          <w:sz w:val="22"/>
          <w:szCs w:val="22"/>
        </w:rPr>
        <w:t xml:space="preserve">the Council of State established </w:t>
      </w:r>
      <w:r w:rsidRPr="001D15EE">
        <w:rPr>
          <w:rFonts w:asciiTheme="minorHAnsi" w:hAnsiTheme="minorHAnsi" w:cstheme="minorHAnsi"/>
          <w:sz w:val="22"/>
          <w:szCs w:val="22"/>
        </w:rPr>
        <w:t>that the applicant had not brought forward any arguments concerning the untimely prolongation decision. For this reason, it annulled the judgment of the District Court and denied the TCN’s compensation claim.</w:t>
      </w:r>
      <w:r w:rsidRPr="001D15EE">
        <w:rPr>
          <w:rStyle w:val="FootnoteReference"/>
          <w:rFonts w:asciiTheme="minorHAnsi" w:hAnsiTheme="minorHAnsi" w:cstheme="minorHAnsi"/>
          <w:sz w:val="22"/>
          <w:szCs w:val="22"/>
        </w:rPr>
        <w:footnoteReference w:id="32"/>
      </w:r>
      <w:r w:rsidRPr="001D15EE">
        <w:rPr>
          <w:rFonts w:asciiTheme="minorHAnsi" w:hAnsiTheme="minorHAnsi" w:cstheme="minorHAnsi"/>
          <w:sz w:val="22"/>
          <w:szCs w:val="22"/>
        </w:rPr>
        <w:t xml:space="preserve"> </w:t>
      </w:r>
    </w:p>
    <w:p w14:paraId="6A41A719" w14:textId="0B962868" w:rsidR="006607A4" w:rsidRPr="001D15EE" w:rsidRDefault="006607A4" w:rsidP="007F72D6">
      <w:pPr>
        <w:spacing w:line="276" w:lineRule="auto"/>
        <w:jc w:val="both"/>
        <w:rPr>
          <w:rFonts w:asciiTheme="minorHAnsi" w:hAnsiTheme="minorHAnsi" w:cstheme="minorHAnsi"/>
          <w:b/>
          <w:bCs/>
          <w:sz w:val="22"/>
          <w:szCs w:val="22"/>
        </w:rPr>
      </w:pPr>
    </w:p>
    <w:p w14:paraId="7042A118" w14:textId="6B541171" w:rsidR="003B0486" w:rsidRPr="001D15EE" w:rsidRDefault="003B0486" w:rsidP="007F72D6">
      <w:pPr>
        <w:spacing w:line="276" w:lineRule="auto"/>
        <w:jc w:val="both"/>
        <w:rPr>
          <w:rFonts w:asciiTheme="minorHAnsi" w:hAnsiTheme="minorHAnsi" w:cstheme="minorHAnsi"/>
          <w:b/>
          <w:bCs/>
          <w:sz w:val="22"/>
          <w:szCs w:val="22"/>
        </w:rPr>
      </w:pPr>
      <w:r w:rsidRPr="001D15EE">
        <w:rPr>
          <w:rFonts w:asciiTheme="minorHAnsi" w:hAnsiTheme="minorHAnsi" w:cstheme="minorHAnsi"/>
          <w:b/>
          <w:bCs/>
          <w:sz w:val="22"/>
          <w:szCs w:val="22"/>
        </w:rPr>
        <w:t xml:space="preserve">Example </w:t>
      </w:r>
      <w:r w:rsidR="00771719" w:rsidRPr="001D15EE">
        <w:rPr>
          <w:rFonts w:asciiTheme="minorHAnsi" w:hAnsiTheme="minorHAnsi" w:cstheme="minorHAnsi"/>
          <w:b/>
          <w:bCs/>
          <w:sz w:val="22"/>
          <w:szCs w:val="22"/>
        </w:rPr>
        <w:t>4</w:t>
      </w:r>
      <w:r w:rsidRPr="001D15EE">
        <w:rPr>
          <w:rFonts w:asciiTheme="minorHAnsi" w:hAnsiTheme="minorHAnsi" w:cstheme="minorHAnsi"/>
          <w:b/>
          <w:bCs/>
          <w:sz w:val="22"/>
          <w:szCs w:val="22"/>
        </w:rPr>
        <w:t>: Insufficient grounds for detention</w:t>
      </w:r>
    </w:p>
    <w:p w14:paraId="472B1971" w14:textId="525732EC"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In </w:t>
      </w:r>
      <w:r w:rsidR="00771719" w:rsidRPr="001D15EE">
        <w:rPr>
          <w:rFonts w:asciiTheme="minorHAnsi" w:hAnsiTheme="minorHAnsi" w:cstheme="minorHAnsi"/>
          <w:sz w:val="22"/>
          <w:szCs w:val="22"/>
        </w:rPr>
        <w:t>this</w:t>
      </w:r>
      <w:r w:rsidRPr="001D15EE">
        <w:rPr>
          <w:rFonts w:asciiTheme="minorHAnsi" w:hAnsiTheme="minorHAnsi" w:cstheme="minorHAnsi"/>
          <w:sz w:val="22"/>
          <w:szCs w:val="22"/>
        </w:rPr>
        <w:t xml:space="preserve"> example, the </w:t>
      </w:r>
      <w:r w:rsidR="000A05CF" w:rsidRPr="001D15EE">
        <w:rPr>
          <w:rFonts w:asciiTheme="minorHAnsi" w:hAnsiTheme="minorHAnsi" w:cstheme="minorHAnsi"/>
          <w:sz w:val="22"/>
          <w:szCs w:val="22"/>
        </w:rPr>
        <w:t>TCN</w:t>
      </w:r>
      <w:r w:rsidRPr="001D15EE">
        <w:rPr>
          <w:rFonts w:asciiTheme="minorHAnsi" w:hAnsiTheme="minorHAnsi" w:cstheme="minorHAnsi"/>
          <w:sz w:val="22"/>
          <w:szCs w:val="22"/>
        </w:rPr>
        <w:t xml:space="preserve"> was detained with a view to his transfer to another Member State under the Dublin Regulation.</w:t>
      </w:r>
      <w:r w:rsidR="00FF781D">
        <w:rPr>
          <w:rStyle w:val="FootnoteReference"/>
          <w:rFonts w:asciiTheme="minorHAnsi" w:hAnsiTheme="minorHAnsi" w:cstheme="minorHAnsi"/>
          <w:sz w:val="22"/>
          <w:szCs w:val="22"/>
        </w:rPr>
        <w:footnoteReference w:id="33"/>
      </w:r>
      <w:r w:rsidRPr="001D15EE">
        <w:rPr>
          <w:rFonts w:asciiTheme="minorHAnsi" w:hAnsiTheme="minorHAnsi" w:cstheme="minorHAnsi"/>
          <w:sz w:val="22"/>
          <w:szCs w:val="22"/>
        </w:rPr>
        <w:t xml:space="preserve"> In the appeal against the detention measure, the </w:t>
      </w:r>
      <w:r w:rsidR="000A05CF" w:rsidRPr="001D15EE">
        <w:rPr>
          <w:rFonts w:asciiTheme="minorHAnsi" w:hAnsiTheme="minorHAnsi" w:cstheme="minorHAnsi"/>
          <w:sz w:val="22"/>
          <w:szCs w:val="22"/>
        </w:rPr>
        <w:t>TCN</w:t>
      </w:r>
      <w:r w:rsidRPr="001D15EE">
        <w:rPr>
          <w:rFonts w:asciiTheme="minorHAnsi" w:hAnsiTheme="minorHAnsi" w:cstheme="minorHAnsi"/>
          <w:sz w:val="22"/>
          <w:szCs w:val="22"/>
        </w:rPr>
        <w:t xml:space="preserve"> did not contest the ground for detention that he entered the Netherlands illegally. The District Court examined the applicability of the ground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and concluded that this ground could not justify the detention. The court referred to a judgment of the Council of State and considered that it assumed that the Secretary of State also knew this judgment, but nevertheless did not drop this ground for the detention of his own motion. The District Court noted that, if it would not rule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about this ground of detention, the unlawfulness of the detention measure would not be established and the </w:t>
      </w:r>
      <w:r w:rsidR="000A05CF" w:rsidRPr="001D15EE">
        <w:rPr>
          <w:rFonts w:asciiTheme="minorHAnsi" w:hAnsiTheme="minorHAnsi" w:cstheme="minorHAnsi"/>
          <w:sz w:val="22"/>
          <w:szCs w:val="22"/>
        </w:rPr>
        <w:t>TCN</w:t>
      </w:r>
      <w:r w:rsidRPr="001D15EE">
        <w:rPr>
          <w:rFonts w:asciiTheme="minorHAnsi" w:hAnsiTheme="minorHAnsi" w:cstheme="minorHAnsi"/>
          <w:sz w:val="22"/>
          <w:szCs w:val="22"/>
        </w:rPr>
        <w:t xml:space="preserve"> would </w:t>
      </w:r>
      <w:r w:rsidR="00373A0A" w:rsidRPr="001D15EE">
        <w:rPr>
          <w:rFonts w:asciiTheme="minorHAnsi" w:hAnsiTheme="minorHAnsi" w:cstheme="minorHAnsi"/>
          <w:sz w:val="22"/>
          <w:szCs w:val="22"/>
        </w:rPr>
        <w:t xml:space="preserve">continue to </w:t>
      </w:r>
      <w:r w:rsidRPr="001D15EE">
        <w:rPr>
          <w:rFonts w:asciiTheme="minorHAnsi" w:hAnsiTheme="minorHAnsi" w:cstheme="minorHAnsi"/>
          <w:sz w:val="22"/>
          <w:szCs w:val="22"/>
        </w:rPr>
        <w:t xml:space="preserve">be </w:t>
      </w:r>
      <w:r w:rsidR="00373A0A" w:rsidRPr="001D15EE">
        <w:rPr>
          <w:rFonts w:asciiTheme="minorHAnsi" w:hAnsiTheme="minorHAnsi" w:cstheme="minorHAnsi"/>
          <w:sz w:val="22"/>
          <w:szCs w:val="22"/>
        </w:rPr>
        <w:t xml:space="preserve">unlawfully </w:t>
      </w:r>
      <w:r w:rsidRPr="001D15EE">
        <w:rPr>
          <w:rFonts w:asciiTheme="minorHAnsi" w:hAnsiTheme="minorHAnsi" w:cstheme="minorHAnsi"/>
          <w:sz w:val="22"/>
          <w:szCs w:val="22"/>
        </w:rPr>
        <w:t>detained, even though the Secretary of State and the court are (or should be) fully aware of that. According to the court, this could not be tolerated in the light of a proper course of justice.</w:t>
      </w:r>
      <w:r w:rsidRPr="001D15EE">
        <w:rPr>
          <w:rStyle w:val="FootnoteReference"/>
          <w:rFonts w:asciiTheme="minorHAnsi" w:hAnsiTheme="minorHAnsi" w:cstheme="minorHAnsi"/>
          <w:sz w:val="22"/>
          <w:szCs w:val="22"/>
        </w:rPr>
        <w:footnoteReference w:id="34"/>
      </w:r>
      <w:r w:rsidR="00341110">
        <w:rPr>
          <w:rFonts w:asciiTheme="minorHAnsi" w:hAnsiTheme="minorHAnsi" w:cstheme="minorHAnsi"/>
          <w:sz w:val="22"/>
          <w:szCs w:val="22"/>
        </w:rPr>
        <w:t xml:space="preserve"> </w:t>
      </w:r>
    </w:p>
    <w:p w14:paraId="5B7BEA7A" w14:textId="4A9961B2"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ab/>
        <w:t xml:space="preserve">The Secretary of State appealed this judgment before the Council of State, arguing amongst others that the District Court did not comply with Article 8:69 GALA. The Council of State did not rule about the legality of the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examination by the District Court, because it already considered the higher appeal well-founded on another ground. It annulled the judgment of the District Court, declared the appeal before the District Court unfounded and refused the claim for compensation.</w:t>
      </w:r>
      <w:r w:rsidRPr="001D15EE">
        <w:rPr>
          <w:rStyle w:val="FootnoteReference"/>
          <w:rFonts w:asciiTheme="minorHAnsi" w:hAnsiTheme="minorHAnsi" w:cstheme="minorHAnsi"/>
          <w:sz w:val="22"/>
          <w:szCs w:val="22"/>
        </w:rPr>
        <w:footnoteReference w:id="35"/>
      </w:r>
      <w:r w:rsidRPr="001D15EE">
        <w:rPr>
          <w:rFonts w:asciiTheme="minorHAnsi" w:hAnsiTheme="minorHAnsi" w:cstheme="minorHAnsi"/>
          <w:sz w:val="22"/>
          <w:szCs w:val="22"/>
        </w:rPr>
        <w:t xml:space="preserve"> </w:t>
      </w:r>
    </w:p>
    <w:p w14:paraId="78D08473" w14:textId="77777777" w:rsidR="003B0486" w:rsidRPr="001D15EE" w:rsidRDefault="003B0486" w:rsidP="007F72D6">
      <w:pPr>
        <w:pStyle w:val="Default"/>
        <w:spacing w:line="276" w:lineRule="auto"/>
        <w:rPr>
          <w:rFonts w:asciiTheme="minorHAnsi" w:hAnsiTheme="minorHAnsi" w:cstheme="minorHAnsi"/>
          <w:sz w:val="22"/>
          <w:szCs w:val="22"/>
          <w:lang w:val="en-GB"/>
        </w:rPr>
      </w:pPr>
    </w:p>
    <w:p w14:paraId="72762F4D" w14:textId="77777777" w:rsidR="003B0486" w:rsidRPr="001D15EE" w:rsidRDefault="003B0486" w:rsidP="007F72D6">
      <w:pPr>
        <w:spacing w:line="276" w:lineRule="auto"/>
        <w:jc w:val="both"/>
        <w:rPr>
          <w:rFonts w:asciiTheme="minorHAnsi" w:hAnsiTheme="minorHAnsi" w:cstheme="minorHAnsi"/>
          <w:b/>
          <w:bCs/>
          <w:sz w:val="22"/>
          <w:szCs w:val="22"/>
        </w:rPr>
      </w:pPr>
      <w:r w:rsidRPr="001D15EE">
        <w:rPr>
          <w:rFonts w:asciiTheme="minorHAnsi" w:hAnsiTheme="minorHAnsi" w:cstheme="minorHAnsi"/>
          <w:b/>
          <w:bCs/>
          <w:sz w:val="22"/>
          <w:szCs w:val="22"/>
        </w:rPr>
        <w:t>Example 5: Lack of legal protection of a minor</w:t>
      </w:r>
    </w:p>
    <w:p w14:paraId="3B01A32B" w14:textId="42C36E50"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The last example concerns a 15-year-old Vietnamese minor, who was</w:t>
      </w:r>
      <w:r w:rsidRPr="001D15EE">
        <w:rPr>
          <w:rFonts w:asciiTheme="minorHAnsi" w:hAnsiTheme="minorHAnsi" w:cstheme="minorHAnsi"/>
          <w:color w:val="000000"/>
          <w:sz w:val="22"/>
          <w:szCs w:val="22"/>
          <w:shd w:val="clear" w:color="auto" w:fill="FFFFFF"/>
        </w:rPr>
        <w:t xml:space="preserve"> found in the back of a truck </w:t>
      </w:r>
      <w:r w:rsidRPr="001D15EE">
        <w:rPr>
          <w:rFonts w:asciiTheme="minorHAnsi" w:hAnsiTheme="minorHAnsi" w:cstheme="minorHAnsi"/>
          <w:sz w:val="22"/>
          <w:szCs w:val="22"/>
        </w:rPr>
        <w:t>and detained with a view to removal.</w:t>
      </w:r>
      <w:r w:rsidR="00341110">
        <w:rPr>
          <w:rFonts w:asciiTheme="minorHAnsi" w:hAnsiTheme="minorHAnsi" w:cstheme="minorHAnsi"/>
          <w:sz w:val="22"/>
          <w:szCs w:val="22"/>
        </w:rPr>
        <w:t xml:space="preserve"> T</w:t>
      </w:r>
      <w:r w:rsidRPr="001D15EE">
        <w:rPr>
          <w:rFonts w:asciiTheme="minorHAnsi" w:hAnsiTheme="minorHAnsi" w:cstheme="minorHAnsi"/>
          <w:sz w:val="22"/>
          <w:szCs w:val="22"/>
        </w:rPr>
        <w:t>he minor appealed both the return decision and the detention decision</w:t>
      </w:r>
      <w:r w:rsidR="00341110">
        <w:rPr>
          <w:rFonts w:asciiTheme="minorHAnsi" w:hAnsiTheme="minorHAnsi" w:cstheme="minorHAnsi"/>
          <w:sz w:val="22"/>
          <w:szCs w:val="22"/>
        </w:rPr>
        <w:t xml:space="preserve"> to </w:t>
      </w:r>
      <w:r w:rsidR="00341110" w:rsidRPr="001D15EE">
        <w:rPr>
          <w:rFonts w:asciiTheme="minorHAnsi" w:hAnsiTheme="minorHAnsi" w:cstheme="minorHAnsi"/>
          <w:sz w:val="22"/>
          <w:szCs w:val="22"/>
        </w:rPr>
        <w:t>the District Court</w:t>
      </w:r>
      <w:r w:rsidRPr="001D15EE">
        <w:rPr>
          <w:rFonts w:asciiTheme="minorHAnsi" w:hAnsiTheme="minorHAnsi" w:cstheme="minorHAnsi"/>
          <w:sz w:val="22"/>
          <w:szCs w:val="22"/>
        </w:rPr>
        <w:t xml:space="preserve">. The District Court established that the contested detention measure contained serious flaws, which necessitated the immediate lifting of this measure. Taking into account the seriousness of these flaws and the violation of the rights of the child, the District Court examined the preliminary stage of the detention, the hearing and the reasons for and </w:t>
      </w:r>
      <w:r w:rsidR="00A02916" w:rsidRPr="001D15EE">
        <w:rPr>
          <w:rFonts w:asciiTheme="minorHAnsi" w:hAnsiTheme="minorHAnsi" w:cstheme="minorHAnsi"/>
          <w:sz w:val="22"/>
          <w:szCs w:val="22"/>
        </w:rPr>
        <w:t xml:space="preserve">enforcement </w:t>
      </w:r>
      <w:r w:rsidRPr="001D15EE">
        <w:rPr>
          <w:rFonts w:asciiTheme="minorHAnsi" w:hAnsiTheme="minorHAnsi" w:cstheme="minorHAnsi"/>
          <w:sz w:val="22"/>
          <w:szCs w:val="22"/>
        </w:rPr>
        <w:t>of the measure</w:t>
      </w:r>
      <w:r w:rsidR="00341110">
        <w:rPr>
          <w:rFonts w:asciiTheme="minorHAnsi" w:hAnsiTheme="minorHAnsi" w:cstheme="minorHAnsi"/>
          <w:sz w:val="22"/>
          <w:szCs w:val="22"/>
        </w:rPr>
        <w:t xml:space="preserve"> </w:t>
      </w:r>
      <w:r w:rsidR="00341110" w:rsidRPr="001D15EE">
        <w:rPr>
          <w:rFonts w:asciiTheme="minorHAnsi" w:hAnsiTheme="minorHAnsi" w:cstheme="minorHAnsi"/>
          <w:i/>
          <w:iCs/>
          <w:sz w:val="22"/>
          <w:szCs w:val="22"/>
        </w:rPr>
        <w:t>ex officio</w:t>
      </w:r>
      <w:r w:rsidRPr="001D15EE">
        <w:rPr>
          <w:rFonts w:asciiTheme="minorHAnsi" w:hAnsiTheme="minorHAnsi" w:cstheme="minorHAnsi"/>
          <w:sz w:val="22"/>
          <w:szCs w:val="22"/>
        </w:rPr>
        <w:t>. The District Court concluded that the detention was unlawful on the following grounds</w:t>
      </w:r>
      <w:r w:rsidR="001A2C0E">
        <w:rPr>
          <w:rStyle w:val="FootnoteReference"/>
          <w:rFonts w:asciiTheme="minorHAnsi" w:hAnsiTheme="minorHAnsi" w:cstheme="minorHAnsi"/>
          <w:sz w:val="22"/>
          <w:szCs w:val="22"/>
        </w:rPr>
        <w:footnoteReference w:id="36"/>
      </w:r>
      <w:r w:rsidRPr="001D15EE">
        <w:rPr>
          <w:rFonts w:asciiTheme="minorHAnsi" w:hAnsiTheme="minorHAnsi" w:cstheme="minorHAnsi"/>
          <w:sz w:val="22"/>
          <w:szCs w:val="22"/>
        </w:rPr>
        <w:t>:</w:t>
      </w:r>
    </w:p>
    <w:p w14:paraId="48DD8EC0" w14:textId="77777777" w:rsidR="003B0486" w:rsidRPr="001D15EE" w:rsidRDefault="003B0486" w:rsidP="007F72D6">
      <w:pPr>
        <w:pStyle w:val="ListParagraph"/>
        <w:numPr>
          <w:ilvl w:val="0"/>
          <w:numId w:val="10"/>
        </w:numPr>
        <w:spacing w:after="160" w:line="276" w:lineRule="auto"/>
        <w:jc w:val="both"/>
        <w:rPr>
          <w:rFonts w:asciiTheme="minorHAnsi" w:hAnsiTheme="minorHAnsi" w:cstheme="minorHAnsi"/>
          <w:sz w:val="22"/>
          <w:szCs w:val="22"/>
        </w:rPr>
      </w:pPr>
      <w:r w:rsidRPr="001D15EE">
        <w:rPr>
          <w:rFonts w:asciiTheme="minorHAnsi" w:hAnsiTheme="minorHAnsi" w:cstheme="minorHAnsi"/>
          <w:color w:val="000000"/>
          <w:sz w:val="22"/>
          <w:szCs w:val="22"/>
          <w:shd w:val="clear" w:color="auto" w:fill="FFFFFF"/>
        </w:rPr>
        <w:t xml:space="preserve">The minor was arrested and placed in detention in the late evening without a hearing and without having been informed about the reasons of the detention. The minor was heard and </w:t>
      </w:r>
      <w:r w:rsidRPr="001D15EE">
        <w:rPr>
          <w:rFonts w:asciiTheme="minorHAnsi" w:hAnsiTheme="minorHAnsi" w:cstheme="minorHAnsi"/>
          <w:color w:val="000000"/>
          <w:sz w:val="22"/>
          <w:szCs w:val="22"/>
          <w:shd w:val="clear" w:color="auto" w:fill="FFFFFF"/>
        </w:rPr>
        <w:lastRenderedPageBreak/>
        <w:t>informed about these reasons only in the early afternoon of the next day.</w:t>
      </w:r>
      <w:r w:rsidRPr="001D15EE">
        <w:rPr>
          <w:rFonts w:asciiTheme="minorHAnsi" w:hAnsiTheme="minorHAnsi" w:cstheme="minorHAnsi"/>
          <w:sz w:val="22"/>
          <w:szCs w:val="22"/>
        </w:rPr>
        <w:t xml:space="preserve"> According to the District Court, this constituted a violation of Article 5(2) ECHR;</w:t>
      </w:r>
    </w:p>
    <w:p w14:paraId="76BA2554" w14:textId="77777777" w:rsidR="003B0486" w:rsidRPr="001D15EE" w:rsidRDefault="003B0486" w:rsidP="007F72D6">
      <w:pPr>
        <w:pStyle w:val="ListParagraph"/>
        <w:numPr>
          <w:ilvl w:val="0"/>
          <w:numId w:val="10"/>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The Immigration Authorities failed to establish whether the detainee was a minor and whether he wished to apply for asylum, before contacting the Vietnamese embassy;</w:t>
      </w:r>
    </w:p>
    <w:p w14:paraId="5E36EF97" w14:textId="7730A3EC" w:rsidR="003B0486" w:rsidRPr="001D15EE" w:rsidRDefault="003B0486" w:rsidP="007F72D6">
      <w:pPr>
        <w:pStyle w:val="ListParagraph"/>
        <w:numPr>
          <w:ilvl w:val="0"/>
          <w:numId w:val="10"/>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The Immigration Authorities failed to inform the Dutch Legal Aid Board (</w:t>
      </w:r>
      <w:r w:rsidRPr="001D15EE">
        <w:rPr>
          <w:rFonts w:asciiTheme="minorHAnsi" w:hAnsiTheme="minorHAnsi" w:cstheme="minorHAnsi"/>
          <w:i/>
          <w:iCs/>
          <w:sz w:val="22"/>
          <w:szCs w:val="22"/>
        </w:rPr>
        <w:t>De Raad voor de Rechtsbijstand</w:t>
      </w:r>
      <w:r w:rsidRPr="001D15EE">
        <w:rPr>
          <w:rFonts w:asciiTheme="minorHAnsi" w:hAnsiTheme="minorHAnsi" w:cstheme="minorHAnsi"/>
          <w:sz w:val="22"/>
          <w:szCs w:val="22"/>
        </w:rPr>
        <w:t>) before the first hearing with the minor took place and the detention decision was taken</w:t>
      </w:r>
      <w:r w:rsidR="00341110">
        <w:rPr>
          <w:rFonts w:asciiTheme="minorHAnsi" w:hAnsiTheme="minorHAnsi" w:cstheme="minorHAnsi"/>
          <w:sz w:val="22"/>
          <w:szCs w:val="22"/>
        </w:rPr>
        <w:t>;</w:t>
      </w:r>
      <w:r w:rsidRPr="001D15EE">
        <w:rPr>
          <w:rFonts w:asciiTheme="minorHAnsi" w:hAnsiTheme="minorHAnsi" w:cstheme="minorHAnsi"/>
          <w:sz w:val="22"/>
          <w:szCs w:val="22"/>
        </w:rPr>
        <w:t xml:space="preserve"> </w:t>
      </w:r>
    </w:p>
    <w:p w14:paraId="7C92593B" w14:textId="7BAC1FAA" w:rsidR="003B0486" w:rsidRPr="001D15EE" w:rsidRDefault="003B0486" w:rsidP="007F72D6">
      <w:pPr>
        <w:pStyle w:val="ListParagraph"/>
        <w:numPr>
          <w:ilvl w:val="0"/>
          <w:numId w:val="10"/>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The detained minor was heard in the absence of a guardian and a lawyer and the questions asked and the information provided to the minor w</w:t>
      </w:r>
      <w:r w:rsidR="00341110">
        <w:rPr>
          <w:rFonts w:asciiTheme="minorHAnsi" w:hAnsiTheme="minorHAnsi" w:cstheme="minorHAnsi"/>
          <w:sz w:val="22"/>
          <w:szCs w:val="22"/>
        </w:rPr>
        <w:t>ere</w:t>
      </w:r>
      <w:r w:rsidRPr="001D15EE">
        <w:rPr>
          <w:rFonts w:asciiTheme="minorHAnsi" w:hAnsiTheme="minorHAnsi" w:cstheme="minorHAnsi"/>
          <w:sz w:val="22"/>
          <w:szCs w:val="22"/>
        </w:rPr>
        <w:t xml:space="preserve"> not appropriate</w:t>
      </w:r>
      <w:r w:rsidR="00341110">
        <w:rPr>
          <w:rFonts w:asciiTheme="minorHAnsi" w:hAnsiTheme="minorHAnsi" w:cstheme="minorHAnsi"/>
          <w:sz w:val="22"/>
          <w:szCs w:val="22"/>
        </w:rPr>
        <w:t xml:space="preserve"> to his age</w:t>
      </w:r>
      <w:r w:rsidRPr="001D15EE">
        <w:rPr>
          <w:rFonts w:asciiTheme="minorHAnsi" w:hAnsiTheme="minorHAnsi" w:cstheme="minorHAnsi"/>
          <w:sz w:val="22"/>
          <w:szCs w:val="22"/>
        </w:rPr>
        <w:t>;</w:t>
      </w:r>
    </w:p>
    <w:p w14:paraId="1576236C" w14:textId="77777777" w:rsidR="003B0486" w:rsidRPr="001D15EE" w:rsidRDefault="003B0486" w:rsidP="007F72D6">
      <w:pPr>
        <w:pStyle w:val="ListParagraph"/>
        <w:numPr>
          <w:ilvl w:val="0"/>
          <w:numId w:val="10"/>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The measure of detention was insufficiently reasoned, lacking a specification on the realisation of the removal, the foreseeable duration of the detention measure and the proportionality of the detention measure;</w:t>
      </w:r>
    </w:p>
    <w:p w14:paraId="7039AACB" w14:textId="77777777" w:rsidR="003B0486" w:rsidRPr="001D15EE" w:rsidRDefault="003B0486" w:rsidP="007F72D6">
      <w:pPr>
        <w:pStyle w:val="ListParagraph"/>
        <w:numPr>
          <w:ilvl w:val="0"/>
          <w:numId w:val="10"/>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The national authorities failed to consider whether less intrusive measures could be applied; </w:t>
      </w:r>
    </w:p>
    <w:p w14:paraId="6F5A0F4D" w14:textId="13CA6292" w:rsidR="003B0486" w:rsidRPr="001D15EE" w:rsidRDefault="003B0486" w:rsidP="007F72D6">
      <w:pPr>
        <w:pStyle w:val="ListParagraph"/>
        <w:numPr>
          <w:ilvl w:val="0"/>
          <w:numId w:val="10"/>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The minor stayed in police cell for more than three days, which was not in accordance with Dutch law;</w:t>
      </w:r>
      <w:r w:rsidR="00341110">
        <w:rPr>
          <w:rFonts w:asciiTheme="minorHAnsi" w:hAnsiTheme="minorHAnsi" w:cstheme="minorHAnsi"/>
          <w:sz w:val="22"/>
          <w:szCs w:val="22"/>
        </w:rPr>
        <w:t xml:space="preserve"> and</w:t>
      </w:r>
    </w:p>
    <w:p w14:paraId="6D09E9FE" w14:textId="2A5602FE" w:rsidR="003B0486" w:rsidRPr="001D15EE" w:rsidRDefault="003B0486" w:rsidP="007F72D6">
      <w:pPr>
        <w:pStyle w:val="ListParagraph"/>
        <w:numPr>
          <w:ilvl w:val="0"/>
          <w:numId w:val="10"/>
        </w:numPr>
        <w:spacing w:after="160"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On the day of the court hearing, 12 days after the minor’s </w:t>
      </w:r>
      <w:r w:rsidR="00341110">
        <w:rPr>
          <w:rFonts w:asciiTheme="minorHAnsi" w:hAnsiTheme="minorHAnsi" w:cstheme="minorHAnsi"/>
          <w:sz w:val="22"/>
          <w:szCs w:val="22"/>
        </w:rPr>
        <w:t xml:space="preserve">initial </w:t>
      </w:r>
      <w:r w:rsidRPr="001D15EE">
        <w:rPr>
          <w:rFonts w:asciiTheme="minorHAnsi" w:hAnsiTheme="minorHAnsi" w:cstheme="minorHAnsi"/>
          <w:sz w:val="22"/>
          <w:szCs w:val="22"/>
        </w:rPr>
        <w:t>arrest, the minor had still not been allocated a guardian.</w:t>
      </w:r>
      <w:r w:rsidRPr="001D15EE">
        <w:rPr>
          <w:rStyle w:val="FootnoteReference"/>
          <w:rFonts w:asciiTheme="minorHAnsi" w:hAnsiTheme="minorHAnsi" w:cstheme="minorHAnsi"/>
          <w:sz w:val="22"/>
          <w:szCs w:val="22"/>
        </w:rPr>
        <w:footnoteReference w:id="37"/>
      </w:r>
    </w:p>
    <w:p w14:paraId="497723FA" w14:textId="38D65532"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The Secretary </w:t>
      </w:r>
      <w:r w:rsidR="00341110">
        <w:rPr>
          <w:rFonts w:asciiTheme="minorHAnsi" w:hAnsiTheme="minorHAnsi" w:cstheme="minorHAnsi"/>
          <w:sz w:val="22"/>
          <w:szCs w:val="22"/>
        </w:rPr>
        <w:t xml:space="preserve">of State </w:t>
      </w:r>
      <w:r w:rsidRPr="001D15EE">
        <w:rPr>
          <w:rFonts w:asciiTheme="minorHAnsi" w:hAnsiTheme="minorHAnsi" w:cstheme="minorHAnsi"/>
          <w:sz w:val="22"/>
          <w:szCs w:val="22"/>
        </w:rPr>
        <w:t>lodged an appeal against this judgment on 2 September 2019. In March 2021, the Council of State still had not issued a judgment.</w:t>
      </w:r>
      <w:r w:rsidR="00341110">
        <w:rPr>
          <w:rFonts w:asciiTheme="minorHAnsi" w:hAnsiTheme="minorHAnsi" w:cstheme="minorHAnsi"/>
          <w:sz w:val="22"/>
          <w:szCs w:val="22"/>
        </w:rPr>
        <w:t xml:space="preserve"> </w:t>
      </w:r>
    </w:p>
    <w:p w14:paraId="35E5221A" w14:textId="77777777" w:rsidR="003B0486" w:rsidRPr="001D15EE" w:rsidRDefault="003B0486" w:rsidP="007F72D6">
      <w:pPr>
        <w:spacing w:line="276" w:lineRule="auto"/>
        <w:jc w:val="both"/>
        <w:rPr>
          <w:rFonts w:asciiTheme="minorHAnsi" w:hAnsiTheme="minorHAnsi" w:cstheme="minorHAnsi"/>
          <w:sz w:val="22"/>
          <w:szCs w:val="22"/>
        </w:rPr>
      </w:pPr>
    </w:p>
    <w:p w14:paraId="4C99FB11" w14:textId="59036805" w:rsidR="003B0486" w:rsidRPr="001D15EE" w:rsidRDefault="003B0486" w:rsidP="007F72D6">
      <w:pPr>
        <w:pStyle w:val="Heading2"/>
        <w:spacing w:line="276" w:lineRule="auto"/>
        <w:rPr>
          <w:rFonts w:asciiTheme="minorHAnsi" w:eastAsia="Times New Roman" w:hAnsiTheme="minorHAnsi" w:cstheme="minorHAnsi"/>
          <w:b w:val="0"/>
          <w:color w:val="auto"/>
          <w:sz w:val="22"/>
          <w:szCs w:val="22"/>
        </w:rPr>
      </w:pPr>
      <w:bookmarkStart w:id="18" w:name="_Toc66828026"/>
      <w:r w:rsidRPr="001D15EE">
        <w:rPr>
          <w:rFonts w:asciiTheme="minorHAnsi" w:hAnsiTheme="minorHAnsi" w:cstheme="minorHAnsi"/>
          <w:sz w:val="22"/>
          <w:szCs w:val="22"/>
        </w:rPr>
        <w:t>2.4 Conclusion</w:t>
      </w:r>
      <w:bookmarkEnd w:id="18"/>
    </w:p>
    <w:p w14:paraId="51C28A24" w14:textId="3DC1BDC5" w:rsidR="003B0486" w:rsidRPr="001D15EE" w:rsidRDefault="003B0486" w:rsidP="007F72D6">
      <w:pPr>
        <w:pStyle w:val="Heading2"/>
        <w:spacing w:line="276" w:lineRule="auto"/>
        <w:rPr>
          <w:rFonts w:asciiTheme="minorHAnsi" w:eastAsia="Times New Roman" w:hAnsiTheme="minorHAnsi" w:cstheme="minorHAnsi"/>
          <w:b w:val="0"/>
          <w:color w:val="auto"/>
          <w:sz w:val="22"/>
          <w:szCs w:val="22"/>
        </w:rPr>
      </w:pPr>
      <w:r w:rsidRPr="001D15EE">
        <w:rPr>
          <w:rFonts w:asciiTheme="minorHAnsi" w:eastAsia="Times New Roman" w:hAnsiTheme="minorHAnsi" w:cstheme="minorHAnsi"/>
          <w:b w:val="0"/>
          <w:color w:val="auto"/>
          <w:sz w:val="22"/>
          <w:szCs w:val="22"/>
        </w:rPr>
        <w:tab/>
      </w:r>
    </w:p>
    <w:p w14:paraId="46655EC7" w14:textId="36B9FBA1" w:rsidR="00672AB2"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The examples described above demonstrate that the strict interpretation of Article 8:69 GALA by the Council of State, </w:t>
      </w:r>
      <w:r w:rsidRPr="001D15EE">
        <w:rPr>
          <w:rFonts w:asciiTheme="minorHAnsi" w:hAnsiTheme="minorHAnsi" w:cstheme="minorHAnsi"/>
          <w:i/>
          <w:iCs/>
          <w:sz w:val="22"/>
          <w:szCs w:val="22"/>
        </w:rPr>
        <w:t>prevents</w:t>
      </w:r>
      <w:r w:rsidRPr="001D15EE">
        <w:rPr>
          <w:rFonts w:asciiTheme="minorHAnsi" w:hAnsiTheme="minorHAnsi" w:cstheme="minorHAnsi"/>
          <w:sz w:val="22"/>
          <w:szCs w:val="22"/>
        </w:rPr>
        <w:t xml:space="preserve"> the Dutch District Courts </w:t>
      </w:r>
      <w:r w:rsidR="00341110">
        <w:rPr>
          <w:rFonts w:asciiTheme="minorHAnsi" w:hAnsiTheme="minorHAnsi" w:cstheme="minorHAnsi"/>
          <w:sz w:val="22"/>
          <w:szCs w:val="22"/>
        </w:rPr>
        <w:t>from</w:t>
      </w:r>
      <w:r w:rsidRPr="001D15EE">
        <w:rPr>
          <w:rFonts w:asciiTheme="minorHAnsi" w:hAnsiTheme="minorHAnsi" w:cstheme="minorHAnsi"/>
          <w:sz w:val="22"/>
          <w:szCs w:val="22"/>
        </w:rPr>
        <w:t xml:space="preserve"> end</w:t>
      </w:r>
      <w:r w:rsidR="00341110">
        <w:rPr>
          <w:rFonts w:asciiTheme="minorHAnsi" w:hAnsiTheme="minorHAnsi" w:cstheme="minorHAnsi"/>
          <w:sz w:val="22"/>
          <w:szCs w:val="22"/>
        </w:rPr>
        <w:t>ing</w:t>
      </w:r>
      <w:r w:rsidRPr="001D15EE">
        <w:rPr>
          <w:rFonts w:asciiTheme="minorHAnsi" w:hAnsiTheme="minorHAnsi" w:cstheme="minorHAnsi"/>
          <w:sz w:val="22"/>
          <w:szCs w:val="22"/>
        </w:rPr>
        <w:t xml:space="preserve"> unlawful detention measures, if the </w:t>
      </w:r>
      <w:r w:rsidR="000A05CF" w:rsidRPr="001D15EE">
        <w:rPr>
          <w:rFonts w:asciiTheme="minorHAnsi" w:hAnsiTheme="minorHAnsi" w:cstheme="minorHAnsi"/>
          <w:sz w:val="22"/>
          <w:szCs w:val="22"/>
        </w:rPr>
        <w:t>TCN</w:t>
      </w:r>
      <w:r w:rsidRPr="001D15EE">
        <w:rPr>
          <w:rFonts w:asciiTheme="minorHAnsi" w:hAnsiTheme="minorHAnsi" w:cstheme="minorHAnsi"/>
          <w:sz w:val="22"/>
          <w:szCs w:val="22"/>
        </w:rPr>
        <w:t xml:space="preserve"> has not submitted</w:t>
      </w:r>
      <w:r w:rsidR="00771719" w:rsidRPr="001D15EE">
        <w:rPr>
          <w:rFonts w:asciiTheme="minorHAnsi" w:hAnsiTheme="minorHAnsi" w:cstheme="minorHAnsi"/>
          <w:sz w:val="22"/>
          <w:szCs w:val="22"/>
        </w:rPr>
        <w:t xml:space="preserve"> the </w:t>
      </w:r>
      <w:r w:rsidR="00341110">
        <w:rPr>
          <w:rFonts w:asciiTheme="minorHAnsi" w:hAnsiTheme="minorHAnsi" w:cstheme="minorHAnsi"/>
          <w:sz w:val="22"/>
          <w:szCs w:val="22"/>
        </w:rPr>
        <w:t xml:space="preserve">correct </w:t>
      </w:r>
      <w:r w:rsidR="00771719" w:rsidRPr="001D15EE">
        <w:rPr>
          <w:rFonts w:asciiTheme="minorHAnsi" w:hAnsiTheme="minorHAnsi" w:cstheme="minorHAnsi"/>
          <w:sz w:val="22"/>
          <w:szCs w:val="22"/>
        </w:rPr>
        <w:t>argument</w:t>
      </w:r>
      <w:r w:rsidR="00341110">
        <w:rPr>
          <w:rFonts w:asciiTheme="minorHAnsi" w:hAnsiTheme="minorHAnsi" w:cstheme="minorHAnsi"/>
          <w:sz w:val="22"/>
          <w:szCs w:val="22"/>
        </w:rPr>
        <w:t>s</w:t>
      </w:r>
      <w:r w:rsidR="00771719" w:rsidRPr="001D15EE">
        <w:rPr>
          <w:rFonts w:asciiTheme="minorHAnsi" w:hAnsiTheme="minorHAnsi" w:cstheme="minorHAnsi"/>
          <w:sz w:val="22"/>
          <w:szCs w:val="22"/>
        </w:rPr>
        <w:t xml:space="preserve"> for the </w:t>
      </w:r>
      <w:r w:rsidRPr="001D15EE">
        <w:rPr>
          <w:rFonts w:asciiTheme="minorHAnsi" w:hAnsiTheme="minorHAnsi" w:cstheme="minorHAnsi"/>
          <w:sz w:val="22"/>
          <w:szCs w:val="22"/>
        </w:rPr>
        <w:t>unlawfulness</w:t>
      </w:r>
      <w:r w:rsidR="00771719" w:rsidRPr="001D15EE">
        <w:rPr>
          <w:rFonts w:asciiTheme="minorHAnsi" w:hAnsiTheme="minorHAnsi" w:cstheme="minorHAnsi"/>
          <w:sz w:val="22"/>
          <w:szCs w:val="22"/>
        </w:rPr>
        <w:t xml:space="preserve"> of the detention</w:t>
      </w:r>
      <w:r w:rsidRPr="001D15EE">
        <w:rPr>
          <w:rFonts w:asciiTheme="minorHAnsi" w:hAnsiTheme="minorHAnsi" w:cstheme="minorHAnsi"/>
          <w:sz w:val="22"/>
          <w:szCs w:val="22"/>
        </w:rPr>
        <w:t xml:space="preserve"> in the grounds of appeal. </w:t>
      </w:r>
      <w:r w:rsidR="00672AB2" w:rsidRPr="001D15EE">
        <w:rPr>
          <w:rFonts w:asciiTheme="minorHAnsi" w:hAnsiTheme="minorHAnsi" w:cstheme="minorHAnsi"/>
          <w:sz w:val="22"/>
          <w:szCs w:val="22"/>
        </w:rPr>
        <w:t xml:space="preserve">In particular the first example discussed in the previous section shows that this is very demanding for the (lawyer of) the TCN. </w:t>
      </w:r>
      <w:r w:rsidR="00CF354A">
        <w:rPr>
          <w:rFonts w:asciiTheme="minorHAnsi" w:hAnsiTheme="minorHAnsi" w:cstheme="minorHAnsi"/>
          <w:sz w:val="22"/>
          <w:szCs w:val="22"/>
        </w:rPr>
        <w:t>T</w:t>
      </w:r>
      <w:r w:rsidR="00672AB2" w:rsidRPr="001D15EE">
        <w:rPr>
          <w:rFonts w:asciiTheme="minorHAnsi" w:hAnsiTheme="minorHAnsi" w:cstheme="minorHAnsi"/>
          <w:sz w:val="22"/>
          <w:szCs w:val="22"/>
        </w:rPr>
        <w:t>he TCN mentioned in the appeal the right ground why the detention measure was unlawful (lack of a prospect of removal) and two arguments for that ground (the fact that he was undocumented and that no removals to Iran had taken place in the previous year). However</w:t>
      </w:r>
      <w:r w:rsidR="001A2C0E">
        <w:rPr>
          <w:rFonts w:asciiTheme="minorHAnsi" w:hAnsiTheme="minorHAnsi" w:cstheme="minorHAnsi"/>
          <w:sz w:val="22"/>
          <w:szCs w:val="22"/>
        </w:rPr>
        <w:t>,</w:t>
      </w:r>
      <w:r w:rsidR="00672AB2" w:rsidRPr="001D15EE">
        <w:rPr>
          <w:rFonts w:asciiTheme="minorHAnsi" w:hAnsiTheme="minorHAnsi" w:cstheme="minorHAnsi"/>
          <w:sz w:val="22"/>
          <w:szCs w:val="22"/>
        </w:rPr>
        <w:t xml:space="preserve"> he </w:t>
      </w:r>
      <w:r w:rsidR="001A2C0E">
        <w:rPr>
          <w:rFonts w:asciiTheme="minorHAnsi" w:hAnsiTheme="minorHAnsi" w:cstheme="minorHAnsi"/>
          <w:sz w:val="22"/>
          <w:szCs w:val="22"/>
        </w:rPr>
        <w:t>failed to make</w:t>
      </w:r>
      <w:r w:rsidR="00672AB2" w:rsidRPr="001D15EE">
        <w:rPr>
          <w:rFonts w:asciiTheme="minorHAnsi" w:hAnsiTheme="minorHAnsi" w:cstheme="minorHAnsi"/>
          <w:sz w:val="22"/>
          <w:szCs w:val="22"/>
        </w:rPr>
        <w:t xml:space="preserve"> the argument that Iran only cooperated with voluntary (and not forced) return. The Council of State did not allow the District Court to ex officio take this last argument into account.</w:t>
      </w:r>
      <w:r w:rsidR="001A2C0E">
        <w:rPr>
          <w:rFonts w:asciiTheme="minorHAnsi" w:hAnsiTheme="minorHAnsi" w:cstheme="minorHAnsi"/>
          <w:sz w:val="22"/>
          <w:szCs w:val="22"/>
        </w:rPr>
        <w:t xml:space="preserve"> Apart from the high standards this interpretation thus poses to the quality of legal aid, the interpretation by the Council of State as to which provisions are of ‘public order’ and which are not is questionable. This is particularly salient in the case dealing with untimely prolongation. If a judge cannot declare the detention unlawful in the absence of a prolongation decision after six months, because a third-country national has not made this particular argument in his appeal, this essentially means that the judge cannot end a measure of </w:t>
      </w:r>
      <w:r w:rsidR="001A2C0E" w:rsidRPr="00191731">
        <w:rPr>
          <w:rFonts w:asciiTheme="minorHAnsi" w:hAnsiTheme="minorHAnsi" w:cstheme="minorHAnsi"/>
          <w:i/>
          <w:sz w:val="22"/>
          <w:szCs w:val="22"/>
        </w:rPr>
        <w:t>de facto</w:t>
      </w:r>
      <w:r w:rsidR="001A2C0E">
        <w:rPr>
          <w:rFonts w:asciiTheme="minorHAnsi" w:hAnsiTheme="minorHAnsi" w:cstheme="minorHAnsi"/>
          <w:sz w:val="22"/>
          <w:szCs w:val="22"/>
        </w:rPr>
        <w:t xml:space="preserve"> detention.</w:t>
      </w:r>
    </w:p>
    <w:p w14:paraId="2F3A6B55" w14:textId="03F11FF3" w:rsidR="003B0486" w:rsidRDefault="00672AB2" w:rsidP="007F72D6">
      <w:pPr>
        <w:spacing w:line="276" w:lineRule="auto"/>
        <w:ind w:firstLine="360"/>
        <w:jc w:val="both"/>
        <w:rPr>
          <w:rFonts w:asciiTheme="minorHAnsi" w:hAnsiTheme="minorHAnsi" w:cstheme="minorHAnsi"/>
          <w:sz w:val="22"/>
          <w:szCs w:val="22"/>
        </w:rPr>
      </w:pPr>
      <w:r w:rsidRPr="001D15EE">
        <w:rPr>
          <w:rFonts w:asciiTheme="minorHAnsi" w:hAnsiTheme="minorHAnsi" w:cstheme="minorHAnsi"/>
          <w:sz w:val="22"/>
          <w:szCs w:val="22"/>
        </w:rPr>
        <w:t>In</w:t>
      </w:r>
      <w:r w:rsidR="003B0486" w:rsidRPr="001D15EE">
        <w:rPr>
          <w:rFonts w:asciiTheme="minorHAnsi" w:hAnsiTheme="minorHAnsi" w:cstheme="minorHAnsi"/>
          <w:sz w:val="22"/>
          <w:szCs w:val="22"/>
        </w:rPr>
        <w:t xml:space="preserve"> this context, it is telling that the District Court of Arnhem decided on 5 January 2021 to change its usual practice, until the judgment of the CJEU on the preliminary question referred by the Council of State. The District Court will now take unlawfulness in</w:t>
      </w:r>
      <w:r w:rsidR="00341110">
        <w:rPr>
          <w:rFonts w:asciiTheme="minorHAnsi" w:hAnsiTheme="minorHAnsi" w:cstheme="minorHAnsi"/>
          <w:sz w:val="22"/>
          <w:szCs w:val="22"/>
        </w:rPr>
        <w:t>to account without it being raised by the applicant</w:t>
      </w:r>
      <w:r w:rsidR="003B0486" w:rsidRPr="001D15EE">
        <w:rPr>
          <w:rFonts w:asciiTheme="minorHAnsi" w:hAnsiTheme="minorHAnsi" w:cstheme="minorHAnsi"/>
          <w:sz w:val="22"/>
          <w:szCs w:val="22"/>
        </w:rPr>
        <w:t xml:space="preserve"> if:</w:t>
      </w:r>
    </w:p>
    <w:p w14:paraId="54635C8E" w14:textId="77777777" w:rsidR="001A2C0E" w:rsidRPr="001D15EE" w:rsidRDefault="001A2C0E" w:rsidP="007F72D6">
      <w:pPr>
        <w:spacing w:line="276" w:lineRule="auto"/>
        <w:ind w:firstLine="360"/>
        <w:jc w:val="both"/>
        <w:rPr>
          <w:rFonts w:asciiTheme="minorHAnsi" w:hAnsiTheme="minorHAnsi" w:cstheme="minorHAnsi"/>
          <w:sz w:val="22"/>
          <w:szCs w:val="22"/>
        </w:rPr>
      </w:pPr>
    </w:p>
    <w:p w14:paraId="4AC8A330" w14:textId="763C5761" w:rsidR="003B0486" w:rsidRPr="001A2C0E" w:rsidRDefault="001A2C0E" w:rsidP="001A2C0E">
      <w:pPr>
        <w:pStyle w:val="ListParagraph"/>
        <w:numPr>
          <w:ilvl w:val="0"/>
          <w:numId w:val="11"/>
        </w:numPr>
        <w:spacing w:after="160" w:line="276" w:lineRule="auto"/>
        <w:jc w:val="both"/>
        <w:rPr>
          <w:rFonts w:asciiTheme="minorHAnsi" w:hAnsiTheme="minorHAnsi" w:cstheme="minorHAnsi"/>
          <w:sz w:val="22"/>
          <w:szCs w:val="22"/>
        </w:rPr>
      </w:pPr>
      <w:r>
        <w:rPr>
          <w:rFonts w:asciiTheme="minorHAnsi" w:hAnsiTheme="minorHAnsi" w:cstheme="minorHAnsi"/>
          <w:sz w:val="22"/>
          <w:szCs w:val="22"/>
        </w:rPr>
        <w:t>The District Court</w:t>
      </w:r>
      <w:r w:rsidR="003B0486" w:rsidRPr="001D15EE">
        <w:rPr>
          <w:rFonts w:asciiTheme="minorHAnsi" w:hAnsiTheme="minorHAnsi" w:cstheme="minorHAnsi"/>
          <w:sz w:val="22"/>
          <w:szCs w:val="22"/>
        </w:rPr>
        <w:t xml:space="preserve"> is fully aware of the fact that the detention measure is unlawful;</w:t>
      </w:r>
      <w:r>
        <w:rPr>
          <w:rFonts w:asciiTheme="minorHAnsi" w:hAnsiTheme="minorHAnsi" w:cstheme="minorHAnsi"/>
          <w:sz w:val="22"/>
          <w:szCs w:val="22"/>
        </w:rPr>
        <w:t xml:space="preserve"> </w:t>
      </w:r>
      <w:r w:rsidR="003B0486" w:rsidRPr="001A2C0E">
        <w:rPr>
          <w:rFonts w:asciiTheme="minorHAnsi" w:hAnsiTheme="minorHAnsi" w:cstheme="minorHAnsi"/>
          <w:sz w:val="22"/>
          <w:szCs w:val="22"/>
        </w:rPr>
        <w:t xml:space="preserve">and </w:t>
      </w:r>
    </w:p>
    <w:p w14:paraId="0E294461" w14:textId="38ABE1F1" w:rsidR="003B0486" w:rsidRPr="001D15EE" w:rsidRDefault="00341110" w:rsidP="007F72D6">
      <w:pPr>
        <w:pStyle w:val="ListParagraph"/>
        <w:numPr>
          <w:ilvl w:val="0"/>
          <w:numId w:val="11"/>
        </w:numPr>
        <w:spacing w:after="160" w:line="276" w:lineRule="auto"/>
        <w:jc w:val="both"/>
        <w:rPr>
          <w:rFonts w:asciiTheme="minorHAnsi" w:hAnsiTheme="minorHAnsi" w:cstheme="minorHAnsi"/>
          <w:sz w:val="22"/>
          <w:szCs w:val="22"/>
        </w:rPr>
      </w:pPr>
      <w:r>
        <w:rPr>
          <w:rFonts w:asciiTheme="minorHAnsi" w:hAnsiTheme="minorHAnsi" w:cstheme="minorHAnsi"/>
          <w:sz w:val="22"/>
          <w:szCs w:val="22"/>
        </w:rPr>
        <w:lastRenderedPageBreak/>
        <w:t>T</w:t>
      </w:r>
      <w:r w:rsidR="003B0486" w:rsidRPr="001D15EE">
        <w:rPr>
          <w:rFonts w:asciiTheme="minorHAnsi" w:hAnsiTheme="minorHAnsi" w:cstheme="minorHAnsi"/>
          <w:sz w:val="22"/>
          <w:szCs w:val="22"/>
        </w:rPr>
        <w:t>his unlawful situation will continue if the court does not declare the appeal well-founded.</w:t>
      </w:r>
      <w:r w:rsidR="003B0486" w:rsidRPr="001D15EE">
        <w:rPr>
          <w:rStyle w:val="FootnoteReference"/>
          <w:rFonts w:asciiTheme="minorHAnsi" w:hAnsiTheme="minorHAnsi" w:cstheme="minorHAnsi"/>
          <w:sz w:val="22"/>
          <w:szCs w:val="22"/>
        </w:rPr>
        <w:footnoteReference w:id="38"/>
      </w:r>
    </w:p>
    <w:p w14:paraId="6030EBD8" w14:textId="1D7B4553" w:rsidR="003B0486" w:rsidRPr="001D15EE" w:rsidRDefault="003B048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This implies that, before the preliminary reference </w:t>
      </w:r>
      <w:r w:rsidR="00341110">
        <w:rPr>
          <w:rFonts w:asciiTheme="minorHAnsi" w:hAnsiTheme="minorHAnsi" w:cstheme="minorHAnsi"/>
          <w:sz w:val="22"/>
          <w:szCs w:val="22"/>
        </w:rPr>
        <w:t>by</w:t>
      </w:r>
      <w:r w:rsidRPr="001D15EE">
        <w:rPr>
          <w:rFonts w:asciiTheme="minorHAnsi" w:hAnsiTheme="minorHAnsi" w:cstheme="minorHAnsi"/>
          <w:sz w:val="22"/>
          <w:szCs w:val="22"/>
        </w:rPr>
        <w:t xml:space="preserve"> the Council of State, the District Court of Arnhem did not take into account (</w:t>
      </w:r>
      <w:r w:rsidRPr="001D15EE">
        <w:rPr>
          <w:rFonts w:asciiTheme="minorHAnsi" w:hAnsiTheme="minorHAnsi" w:cstheme="minorHAnsi"/>
          <w:i/>
          <w:iCs/>
          <w:sz w:val="22"/>
          <w:szCs w:val="22"/>
        </w:rPr>
        <w:t>prima facie</w:t>
      </w:r>
      <w:r w:rsidRPr="001D15EE">
        <w:rPr>
          <w:rFonts w:asciiTheme="minorHAnsi" w:hAnsiTheme="minorHAnsi" w:cstheme="minorHAnsi"/>
          <w:sz w:val="22"/>
          <w:szCs w:val="22"/>
        </w:rPr>
        <w:t>) unlawfulness,</w:t>
      </w:r>
      <w:r w:rsidR="00672AB2" w:rsidRPr="001D15EE">
        <w:rPr>
          <w:rFonts w:asciiTheme="minorHAnsi" w:hAnsiTheme="minorHAnsi" w:cstheme="minorHAnsi"/>
          <w:sz w:val="22"/>
          <w:szCs w:val="22"/>
        </w:rPr>
        <w:t xml:space="preserve"> if the relevant arguments for deeming the detention unlawful were</w:t>
      </w:r>
      <w:r w:rsidRPr="001D15EE">
        <w:rPr>
          <w:rFonts w:asciiTheme="minorHAnsi" w:hAnsiTheme="minorHAnsi" w:cstheme="minorHAnsi"/>
          <w:sz w:val="22"/>
          <w:szCs w:val="22"/>
        </w:rPr>
        <w:t xml:space="preserve"> not mentioned in the appeal grounds. </w:t>
      </w:r>
    </w:p>
    <w:p w14:paraId="4FD4968F" w14:textId="518EAC1D" w:rsidR="003B0486" w:rsidRPr="001D15EE" w:rsidRDefault="003B0486" w:rsidP="007F72D6">
      <w:pPr>
        <w:spacing w:line="276" w:lineRule="auto"/>
        <w:ind w:firstLine="708"/>
        <w:jc w:val="both"/>
        <w:rPr>
          <w:rFonts w:asciiTheme="minorHAnsi" w:hAnsiTheme="minorHAnsi" w:cstheme="minorHAnsi"/>
          <w:sz w:val="22"/>
          <w:szCs w:val="22"/>
        </w:rPr>
      </w:pPr>
      <w:r w:rsidRPr="001D15EE">
        <w:rPr>
          <w:rFonts w:asciiTheme="minorHAnsi" w:hAnsiTheme="minorHAnsi" w:cstheme="minorHAnsi"/>
          <w:sz w:val="22"/>
          <w:szCs w:val="22"/>
        </w:rPr>
        <w:t xml:space="preserve">The divergence among different lower courts and the disagreement </w:t>
      </w:r>
      <w:r w:rsidR="00341110">
        <w:rPr>
          <w:rFonts w:asciiTheme="minorHAnsi" w:hAnsiTheme="minorHAnsi" w:cstheme="minorHAnsi"/>
          <w:sz w:val="22"/>
          <w:szCs w:val="22"/>
        </w:rPr>
        <w:t>between</w:t>
      </w:r>
      <w:r w:rsidRPr="001D15EE">
        <w:rPr>
          <w:rFonts w:asciiTheme="minorHAnsi" w:hAnsiTheme="minorHAnsi" w:cstheme="minorHAnsi"/>
          <w:sz w:val="22"/>
          <w:szCs w:val="22"/>
        </w:rPr>
        <w:t xml:space="preserve"> them </w:t>
      </w:r>
      <w:r w:rsidR="00341110">
        <w:rPr>
          <w:rFonts w:asciiTheme="minorHAnsi" w:hAnsiTheme="minorHAnsi" w:cstheme="minorHAnsi"/>
          <w:sz w:val="22"/>
          <w:szCs w:val="22"/>
        </w:rPr>
        <w:t>regarding</w:t>
      </w:r>
      <w:r w:rsidRPr="001D15EE">
        <w:rPr>
          <w:rFonts w:asciiTheme="minorHAnsi" w:hAnsiTheme="minorHAnsi" w:cstheme="minorHAnsi"/>
          <w:sz w:val="22"/>
          <w:szCs w:val="22"/>
        </w:rPr>
        <w:t xml:space="preserve"> the Council of State’s standing case law, have created a situation of legal uncertainty that has drastic effects on the individuals whose right to </w:t>
      </w:r>
      <w:r w:rsidR="001A2C0E">
        <w:rPr>
          <w:rFonts w:asciiTheme="minorHAnsi" w:hAnsiTheme="minorHAnsi" w:cstheme="minorHAnsi"/>
          <w:sz w:val="22"/>
          <w:szCs w:val="22"/>
        </w:rPr>
        <w:t xml:space="preserve">personal liberty </w:t>
      </w:r>
      <w:r w:rsidRPr="001D15EE">
        <w:rPr>
          <w:rFonts w:asciiTheme="minorHAnsi" w:hAnsiTheme="minorHAnsi" w:cstheme="minorHAnsi"/>
          <w:sz w:val="22"/>
          <w:szCs w:val="22"/>
        </w:rPr>
        <w:t xml:space="preserve">is at stake. On the one hand, most lower courts refrain from </w:t>
      </w:r>
      <w:r w:rsidRPr="00341110">
        <w:rPr>
          <w:rFonts w:asciiTheme="minorHAnsi" w:hAnsiTheme="minorHAnsi" w:cstheme="minorHAnsi"/>
          <w:i/>
          <w:iCs/>
          <w:sz w:val="22"/>
          <w:szCs w:val="22"/>
        </w:rPr>
        <w:t>ex</w:t>
      </w:r>
      <w:r w:rsidR="00341110" w:rsidRPr="00341110">
        <w:rPr>
          <w:rFonts w:asciiTheme="minorHAnsi" w:hAnsiTheme="minorHAnsi" w:cstheme="minorHAnsi"/>
          <w:i/>
          <w:iCs/>
          <w:sz w:val="22"/>
          <w:szCs w:val="22"/>
        </w:rPr>
        <w:t xml:space="preserve"> </w:t>
      </w:r>
      <w:r w:rsidRPr="00341110">
        <w:rPr>
          <w:rFonts w:asciiTheme="minorHAnsi" w:hAnsiTheme="minorHAnsi" w:cstheme="minorHAnsi"/>
          <w:i/>
          <w:iCs/>
          <w:sz w:val="22"/>
          <w:szCs w:val="22"/>
        </w:rPr>
        <w:t>officio</w:t>
      </w:r>
      <w:r w:rsidRPr="001D15EE">
        <w:rPr>
          <w:rFonts w:asciiTheme="minorHAnsi" w:hAnsiTheme="minorHAnsi" w:cstheme="minorHAnsi"/>
          <w:sz w:val="22"/>
          <w:szCs w:val="22"/>
        </w:rPr>
        <w:t xml:space="preserve"> review, being conscious of the prohibition following from </w:t>
      </w:r>
      <w:r w:rsidR="00672AB2" w:rsidRPr="001D15EE">
        <w:rPr>
          <w:rFonts w:asciiTheme="minorHAnsi" w:hAnsiTheme="minorHAnsi" w:cstheme="minorHAnsi"/>
          <w:sz w:val="22"/>
          <w:szCs w:val="22"/>
        </w:rPr>
        <w:t xml:space="preserve">the Council of State’s strict interpretation of </w:t>
      </w:r>
      <w:r w:rsidRPr="001D15EE">
        <w:rPr>
          <w:rFonts w:asciiTheme="minorHAnsi" w:hAnsiTheme="minorHAnsi" w:cstheme="minorHAnsi"/>
          <w:sz w:val="22"/>
          <w:szCs w:val="22"/>
        </w:rPr>
        <w:t xml:space="preserve">Article 8:69 GALA. On the other hand, certain courts feel compelled to exercise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in order to guarantee the right to </w:t>
      </w:r>
      <w:r w:rsidR="00672AB2" w:rsidRPr="001D15EE">
        <w:rPr>
          <w:rFonts w:asciiTheme="minorHAnsi" w:hAnsiTheme="minorHAnsi" w:cstheme="minorHAnsi"/>
          <w:sz w:val="22"/>
          <w:szCs w:val="22"/>
        </w:rPr>
        <w:t xml:space="preserve">personal liberty </w:t>
      </w:r>
      <w:r w:rsidRPr="001D15EE">
        <w:rPr>
          <w:rFonts w:asciiTheme="minorHAnsi" w:hAnsiTheme="minorHAnsi" w:cstheme="minorHAnsi"/>
          <w:sz w:val="22"/>
          <w:szCs w:val="22"/>
        </w:rPr>
        <w:t xml:space="preserve">and effective legal protection. Hence, it can be said that the outcome (deprivation of liberty or not) </w:t>
      </w:r>
      <w:r w:rsidR="001A2C0E">
        <w:rPr>
          <w:rFonts w:asciiTheme="minorHAnsi" w:hAnsiTheme="minorHAnsi" w:cstheme="minorHAnsi"/>
          <w:sz w:val="22"/>
          <w:szCs w:val="22"/>
        </w:rPr>
        <w:t>varies</w:t>
      </w:r>
      <w:r w:rsidRPr="001D15EE">
        <w:rPr>
          <w:rFonts w:asciiTheme="minorHAnsi" w:hAnsiTheme="minorHAnsi" w:cstheme="minorHAnsi"/>
          <w:sz w:val="22"/>
          <w:szCs w:val="22"/>
        </w:rPr>
        <w:t xml:space="preserve"> from one court to the other.</w:t>
      </w:r>
      <w:r w:rsidR="00341110">
        <w:rPr>
          <w:rFonts w:asciiTheme="minorHAnsi" w:hAnsiTheme="minorHAnsi" w:cstheme="minorHAnsi"/>
          <w:sz w:val="22"/>
          <w:szCs w:val="22"/>
        </w:rPr>
        <w:t xml:space="preserve"> </w:t>
      </w:r>
    </w:p>
    <w:p w14:paraId="29A0C4AA" w14:textId="182A4926" w:rsidR="003B0486" w:rsidRPr="001D15EE" w:rsidRDefault="003B0486" w:rsidP="007F72D6">
      <w:pPr>
        <w:spacing w:line="276" w:lineRule="auto"/>
        <w:ind w:firstLine="708"/>
        <w:jc w:val="both"/>
        <w:rPr>
          <w:rFonts w:asciiTheme="minorHAnsi" w:hAnsiTheme="minorHAnsi" w:cstheme="minorHAnsi"/>
        </w:rPr>
      </w:pPr>
      <w:r w:rsidRPr="001D15EE">
        <w:rPr>
          <w:rFonts w:asciiTheme="minorHAnsi" w:hAnsiTheme="minorHAnsi" w:cstheme="minorHAnsi"/>
          <w:sz w:val="22"/>
          <w:szCs w:val="22"/>
        </w:rPr>
        <w:t xml:space="preserve">The analysis above demonstrates that, in situations where a District Court decides to exercise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the Secretary of State will submit a higher appeal </w:t>
      </w:r>
      <w:r w:rsidR="00341110">
        <w:rPr>
          <w:rFonts w:asciiTheme="minorHAnsi" w:hAnsiTheme="minorHAnsi" w:cstheme="minorHAnsi"/>
          <w:sz w:val="22"/>
          <w:szCs w:val="22"/>
        </w:rPr>
        <w:t>to</w:t>
      </w:r>
      <w:r w:rsidRPr="001D15EE">
        <w:rPr>
          <w:rFonts w:asciiTheme="minorHAnsi" w:hAnsiTheme="minorHAnsi" w:cstheme="minorHAnsi"/>
          <w:sz w:val="22"/>
          <w:szCs w:val="22"/>
        </w:rPr>
        <w:t xml:space="preserve"> the Council of State. The higher appeal will subsequently be declared well-founded and the judgment of the lower court will be </w:t>
      </w:r>
      <w:r w:rsidR="001A2C0E">
        <w:rPr>
          <w:rFonts w:asciiTheme="minorHAnsi" w:hAnsiTheme="minorHAnsi" w:cstheme="minorHAnsi"/>
          <w:sz w:val="22"/>
          <w:szCs w:val="22"/>
        </w:rPr>
        <w:t>quashed</w:t>
      </w:r>
      <w:r w:rsidRPr="001D15EE">
        <w:rPr>
          <w:rFonts w:asciiTheme="minorHAnsi" w:hAnsiTheme="minorHAnsi" w:cstheme="minorHAnsi"/>
          <w:sz w:val="22"/>
          <w:szCs w:val="22"/>
        </w:rPr>
        <w:t xml:space="preserve">. This </w:t>
      </w:r>
      <w:r w:rsidR="001A2C0E">
        <w:rPr>
          <w:rFonts w:asciiTheme="minorHAnsi" w:hAnsiTheme="minorHAnsi" w:cstheme="minorHAnsi"/>
          <w:sz w:val="22"/>
          <w:szCs w:val="22"/>
        </w:rPr>
        <w:t>amounts to a prohibition for</w:t>
      </w:r>
      <w:r w:rsidRPr="001D15EE">
        <w:rPr>
          <w:rFonts w:asciiTheme="minorHAnsi" w:hAnsiTheme="minorHAnsi" w:cstheme="minorHAnsi"/>
          <w:sz w:val="22"/>
          <w:szCs w:val="22"/>
        </w:rPr>
        <w:t xml:space="preserve"> District Courts </w:t>
      </w:r>
      <w:r w:rsidR="001A2C0E">
        <w:rPr>
          <w:rFonts w:asciiTheme="minorHAnsi" w:hAnsiTheme="minorHAnsi" w:cstheme="minorHAnsi"/>
          <w:sz w:val="22"/>
          <w:szCs w:val="22"/>
        </w:rPr>
        <w:t>to</w:t>
      </w:r>
      <w:r w:rsidRPr="001D15EE">
        <w:rPr>
          <w:rFonts w:asciiTheme="minorHAnsi" w:hAnsiTheme="minorHAnsi" w:cstheme="minorHAnsi"/>
          <w:sz w:val="22"/>
          <w:szCs w:val="22"/>
        </w:rPr>
        <w:t xml:space="preserve"> carry out </w:t>
      </w:r>
      <w:r w:rsidRPr="001D15EE">
        <w:rPr>
          <w:rFonts w:asciiTheme="minorHAnsi" w:hAnsiTheme="minorHAnsi" w:cstheme="minorHAnsi"/>
          <w:i/>
          <w:iCs/>
          <w:sz w:val="22"/>
          <w:szCs w:val="22"/>
        </w:rPr>
        <w:t>ex officio</w:t>
      </w:r>
      <w:r w:rsidRPr="001D15EE">
        <w:rPr>
          <w:rFonts w:asciiTheme="minorHAnsi" w:hAnsiTheme="minorHAnsi" w:cstheme="minorHAnsi"/>
          <w:sz w:val="22"/>
          <w:szCs w:val="22"/>
        </w:rPr>
        <w:t xml:space="preserve"> review. This situation can only be remedied if the CJEU rules that the current interpretation of Article 8:69 GALA, which </w:t>
      </w:r>
      <w:r w:rsidRPr="001D15EE">
        <w:rPr>
          <w:rFonts w:asciiTheme="minorHAnsi" w:hAnsiTheme="minorHAnsi" w:cstheme="minorHAnsi"/>
          <w:i/>
          <w:iCs/>
          <w:sz w:val="22"/>
          <w:szCs w:val="22"/>
        </w:rPr>
        <w:t>prevents</w:t>
      </w:r>
      <w:r w:rsidRPr="001D15EE">
        <w:rPr>
          <w:rFonts w:asciiTheme="minorHAnsi" w:hAnsiTheme="minorHAnsi" w:cstheme="minorHAnsi"/>
          <w:sz w:val="22"/>
          <w:szCs w:val="22"/>
        </w:rPr>
        <w:t xml:space="preserve"> the Dutch Courts </w:t>
      </w:r>
      <w:r w:rsidR="00341110">
        <w:rPr>
          <w:rFonts w:asciiTheme="minorHAnsi" w:hAnsiTheme="minorHAnsi" w:cstheme="minorHAnsi"/>
          <w:sz w:val="22"/>
          <w:szCs w:val="22"/>
        </w:rPr>
        <w:t>from</w:t>
      </w:r>
      <w:r w:rsidRPr="001D15EE">
        <w:rPr>
          <w:rFonts w:asciiTheme="minorHAnsi" w:hAnsiTheme="minorHAnsi" w:cstheme="minorHAnsi"/>
          <w:sz w:val="22"/>
          <w:szCs w:val="22"/>
        </w:rPr>
        <w:t xml:space="preserve"> review</w:t>
      </w:r>
      <w:r w:rsidR="00341110">
        <w:rPr>
          <w:rFonts w:asciiTheme="minorHAnsi" w:hAnsiTheme="minorHAnsi" w:cstheme="minorHAnsi"/>
          <w:sz w:val="22"/>
          <w:szCs w:val="22"/>
        </w:rPr>
        <w:t>ing</w:t>
      </w:r>
      <w:r w:rsidRPr="001D15EE">
        <w:rPr>
          <w:rFonts w:asciiTheme="minorHAnsi" w:hAnsiTheme="minorHAnsi" w:cstheme="minorHAnsi"/>
          <w:sz w:val="22"/>
          <w:szCs w:val="22"/>
        </w:rPr>
        <w:t xml:space="preserve"> an aspect of the detention measure </w:t>
      </w:r>
      <w:r w:rsidRPr="001A2C0E">
        <w:rPr>
          <w:rFonts w:asciiTheme="minorHAnsi" w:hAnsiTheme="minorHAnsi" w:cstheme="minorHAnsi"/>
          <w:i/>
          <w:iCs/>
          <w:sz w:val="22"/>
          <w:szCs w:val="22"/>
        </w:rPr>
        <w:t>ex officio</w:t>
      </w:r>
      <w:r w:rsidRPr="001D15EE">
        <w:rPr>
          <w:rFonts w:asciiTheme="minorHAnsi" w:hAnsiTheme="minorHAnsi" w:cstheme="minorHAnsi"/>
          <w:sz w:val="22"/>
          <w:szCs w:val="22"/>
        </w:rPr>
        <w:t xml:space="preserve"> does not comply with </w:t>
      </w:r>
      <w:r w:rsidR="001A2C0E">
        <w:rPr>
          <w:rFonts w:asciiTheme="minorHAnsi" w:hAnsiTheme="minorHAnsi" w:cstheme="minorHAnsi"/>
          <w:sz w:val="22"/>
          <w:szCs w:val="22"/>
        </w:rPr>
        <w:t>Article 15 Return Directive</w:t>
      </w:r>
      <w:r w:rsidRPr="001D15EE">
        <w:rPr>
          <w:rFonts w:asciiTheme="minorHAnsi" w:hAnsiTheme="minorHAnsi" w:cstheme="minorHAnsi"/>
          <w:sz w:val="22"/>
          <w:szCs w:val="22"/>
        </w:rPr>
        <w:t>.</w:t>
      </w:r>
      <w:r w:rsidR="00341110">
        <w:rPr>
          <w:rFonts w:asciiTheme="minorHAnsi" w:hAnsiTheme="minorHAnsi" w:cstheme="minorHAnsi"/>
          <w:sz w:val="22"/>
          <w:szCs w:val="22"/>
        </w:rPr>
        <w:t xml:space="preserve"> </w:t>
      </w:r>
    </w:p>
    <w:p w14:paraId="476A3A89" w14:textId="77777777" w:rsidR="003B0486" w:rsidRPr="001D15EE" w:rsidRDefault="003B0486" w:rsidP="007F72D6">
      <w:pPr>
        <w:spacing w:line="276" w:lineRule="auto"/>
        <w:rPr>
          <w:rFonts w:asciiTheme="minorHAnsi" w:eastAsiaTheme="majorEastAsia" w:hAnsiTheme="minorHAnsi" w:cstheme="minorHAnsi"/>
          <w:b/>
          <w:color w:val="000000" w:themeColor="text1"/>
          <w:sz w:val="28"/>
          <w:szCs w:val="32"/>
        </w:rPr>
      </w:pPr>
      <w:r w:rsidRPr="001D15EE">
        <w:rPr>
          <w:rFonts w:asciiTheme="minorHAnsi" w:hAnsiTheme="minorHAnsi" w:cstheme="minorHAnsi"/>
        </w:rPr>
        <w:br w:type="page"/>
      </w:r>
    </w:p>
    <w:p w14:paraId="538D9E06" w14:textId="5B75BE99" w:rsidR="00876177" w:rsidRPr="001D15EE" w:rsidRDefault="003B0486" w:rsidP="007F72D6">
      <w:pPr>
        <w:pStyle w:val="Heading1"/>
        <w:spacing w:line="276" w:lineRule="auto"/>
        <w:jc w:val="both"/>
        <w:rPr>
          <w:rFonts w:asciiTheme="minorHAnsi" w:hAnsiTheme="minorHAnsi" w:cstheme="minorHAnsi"/>
        </w:rPr>
      </w:pPr>
      <w:bookmarkStart w:id="19" w:name="_Toc66828027"/>
      <w:r w:rsidRPr="001D15EE">
        <w:rPr>
          <w:rFonts w:asciiTheme="minorHAnsi" w:hAnsiTheme="minorHAnsi" w:cstheme="minorHAnsi"/>
        </w:rPr>
        <w:lastRenderedPageBreak/>
        <w:t xml:space="preserve">3. </w:t>
      </w:r>
      <w:r w:rsidRPr="001D15EE">
        <w:rPr>
          <w:rFonts w:asciiTheme="minorHAnsi" w:hAnsiTheme="minorHAnsi" w:cstheme="minorHAnsi"/>
        </w:rPr>
        <w:tab/>
      </w:r>
      <w:r w:rsidRPr="001D15EE">
        <w:rPr>
          <w:rFonts w:asciiTheme="minorHAnsi" w:hAnsiTheme="minorHAnsi" w:cstheme="minorHAnsi"/>
          <w:i/>
          <w:iCs/>
        </w:rPr>
        <w:t>Ex officio</w:t>
      </w:r>
      <w:r w:rsidRPr="001D15EE">
        <w:rPr>
          <w:rFonts w:asciiTheme="minorHAnsi" w:hAnsiTheme="minorHAnsi" w:cstheme="minorHAnsi"/>
        </w:rPr>
        <w:t xml:space="preserve"> judicial review of detention measures in other European States.</w:t>
      </w:r>
      <w:bookmarkEnd w:id="19"/>
    </w:p>
    <w:p w14:paraId="4F1DDE0E" w14:textId="303BB4D8" w:rsidR="006C1D9A" w:rsidRPr="001D15EE" w:rsidRDefault="006C1D9A" w:rsidP="007F72D6">
      <w:pPr>
        <w:spacing w:line="276" w:lineRule="auto"/>
        <w:rPr>
          <w:rFonts w:asciiTheme="minorHAnsi" w:hAnsiTheme="minorHAnsi" w:cstheme="minorHAnsi"/>
        </w:rPr>
      </w:pPr>
    </w:p>
    <w:p w14:paraId="75250F58" w14:textId="77777777" w:rsidR="00CF354A" w:rsidRDefault="008D6508" w:rsidP="00CF354A">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In this section</w:t>
      </w:r>
      <w:r w:rsidR="002000C2" w:rsidRPr="001D15EE">
        <w:rPr>
          <w:rFonts w:asciiTheme="minorHAnsi" w:hAnsiTheme="minorHAnsi" w:cstheme="minorHAnsi"/>
          <w:sz w:val="22"/>
          <w:szCs w:val="22"/>
        </w:rPr>
        <w:t>,</w:t>
      </w:r>
      <w:r w:rsidRPr="001D15EE">
        <w:rPr>
          <w:rFonts w:asciiTheme="minorHAnsi" w:hAnsiTheme="minorHAnsi" w:cstheme="minorHAnsi"/>
          <w:sz w:val="22"/>
          <w:szCs w:val="22"/>
        </w:rPr>
        <w:t xml:space="preserve"> we will address legal practice concerning judicial review of detention measures based on the Return Directive in other European States. </w:t>
      </w:r>
      <w:r w:rsidR="00CF354A">
        <w:rPr>
          <w:rFonts w:asciiTheme="minorHAnsi" w:hAnsiTheme="minorHAnsi" w:cstheme="minorHAnsi"/>
          <w:sz w:val="22"/>
          <w:szCs w:val="22"/>
        </w:rPr>
        <w:t xml:space="preserve">We will show that these States have implemented different systems of judicial review. We will first demonstrate in this section that the Belgian, French and British courts reviewing the detention decision made by the administrative authorities do not seem to be allowed to rule on aspects of this decision </w:t>
      </w:r>
      <w:r w:rsidR="00CF354A">
        <w:rPr>
          <w:rFonts w:asciiTheme="minorHAnsi" w:hAnsiTheme="minorHAnsi" w:cstheme="minorHAnsi"/>
          <w:i/>
          <w:sz w:val="22"/>
          <w:szCs w:val="22"/>
        </w:rPr>
        <w:t>ex officio</w:t>
      </w:r>
      <w:r w:rsidR="00CF354A">
        <w:rPr>
          <w:rFonts w:asciiTheme="minorHAnsi" w:hAnsiTheme="minorHAnsi" w:cstheme="minorHAnsi"/>
          <w:sz w:val="22"/>
          <w:szCs w:val="22"/>
        </w:rPr>
        <w:t>. After that we will discuss legal practice in Austria and Germany, where detention judges have much wider powers. With regard to all countries, we will first briefly address the legal framework, after which we discuss the scope of judicial review.</w:t>
      </w:r>
    </w:p>
    <w:p w14:paraId="6DC4C772" w14:textId="29CA9696" w:rsidR="008D6508" w:rsidRPr="001D15EE" w:rsidRDefault="008D6508" w:rsidP="00CF354A">
      <w:pPr>
        <w:spacing w:line="276" w:lineRule="auto"/>
        <w:jc w:val="both"/>
        <w:rPr>
          <w:rFonts w:asciiTheme="minorHAnsi" w:hAnsiTheme="minorHAnsi" w:cstheme="minorHAnsi"/>
        </w:rPr>
      </w:pPr>
    </w:p>
    <w:p w14:paraId="3532BF80" w14:textId="1F5828B6" w:rsidR="007108FC" w:rsidRPr="001D15EE" w:rsidRDefault="007108FC" w:rsidP="007F72D6">
      <w:pPr>
        <w:pStyle w:val="Heading2"/>
        <w:spacing w:line="276" w:lineRule="auto"/>
        <w:rPr>
          <w:rFonts w:asciiTheme="minorHAnsi" w:hAnsiTheme="minorHAnsi" w:cstheme="minorHAnsi"/>
          <w:noProof/>
          <w:sz w:val="22"/>
          <w:szCs w:val="22"/>
        </w:rPr>
      </w:pPr>
      <w:bookmarkStart w:id="20" w:name="_Toc66828028"/>
      <w:r w:rsidRPr="0034590E">
        <w:rPr>
          <w:rFonts w:asciiTheme="minorHAnsi" w:hAnsiTheme="minorHAnsi" w:cstheme="minorHAnsi"/>
          <w:noProof/>
          <w:sz w:val="22"/>
          <w:szCs w:val="22"/>
        </w:rPr>
        <w:t>3.</w:t>
      </w:r>
      <w:r w:rsidR="002000C2" w:rsidRPr="0034590E">
        <w:rPr>
          <w:rFonts w:asciiTheme="minorHAnsi" w:hAnsiTheme="minorHAnsi" w:cstheme="minorHAnsi"/>
          <w:noProof/>
          <w:sz w:val="22"/>
          <w:szCs w:val="22"/>
        </w:rPr>
        <w:t>1</w:t>
      </w:r>
      <w:r w:rsidRPr="0034590E">
        <w:rPr>
          <w:rFonts w:asciiTheme="minorHAnsi" w:hAnsiTheme="minorHAnsi" w:cstheme="minorHAnsi"/>
          <w:noProof/>
          <w:sz w:val="22"/>
          <w:szCs w:val="22"/>
        </w:rPr>
        <w:t xml:space="preserve"> Belgium</w:t>
      </w:r>
      <w:r w:rsidR="0034590E" w:rsidRPr="0034590E">
        <w:rPr>
          <w:rFonts w:asciiTheme="minorHAnsi" w:hAnsiTheme="minorHAnsi" w:cstheme="minorHAnsi"/>
          <w:noProof/>
          <w:sz w:val="22"/>
          <w:szCs w:val="22"/>
        </w:rPr>
        <w:t>,</w:t>
      </w:r>
      <w:r w:rsidRPr="0034590E">
        <w:rPr>
          <w:rFonts w:asciiTheme="minorHAnsi" w:hAnsiTheme="minorHAnsi" w:cstheme="minorHAnsi"/>
          <w:noProof/>
          <w:sz w:val="22"/>
          <w:szCs w:val="22"/>
        </w:rPr>
        <w:t xml:space="preserve"> France</w:t>
      </w:r>
      <w:r w:rsidR="0034590E" w:rsidRPr="0034590E">
        <w:rPr>
          <w:rFonts w:asciiTheme="minorHAnsi" w:hAnsiTheme="minorHAnsi" w:cstheme="minorHAnsi"/>
          <w:noProof/>
          <w:sz w:val="22"/>
          <w:szCs w:val="22"/>
        </w:rPr>
        <w:t xml:space="preserve"> and the United Kingdom</w:t>
      </w:r>
      <w:r w:rsidRPr="0034590E">
        <w:rPr>
          <w:rFonts w:asciiTheme="minorHAnsi" w:hAnsiTheme="minorHAnsi" w:cstheme="minorHAnsi"/>
          <w:noProof/>
          <w:sz w:val="22"/>
          <w:szCs w:val="22"/>
        </w:rPr>
        <w:t xml:space="preserve">: no </w:t>
      </w:r>
      <w:r w:rsidRPr="0034590E">
        <w:rPr>
          <w:rFonts w:asciiTheme="minorHAnsi" w:hAnsiTheme="minorHAnsi" w:cstheme="minorHAnsi"/>
          <w:i/>
          <w:iCs/>
          <w:noProof/>
          <w:sz w:val="22"/>
          <w:szCs w:val="22"/>
        </w:rPr>
        <w:t>ex officio</w:t>
      </w:r>
      <w:r w:rsidRPr="0034590E">
        <w:rPr>
          <w:rFonts w:asciiTheme="minorHAnsi" w:hAnsiTheme="minorHAnsi" w:cstheme="minorHAnsi"/>
          <w:noProof/>
          <w:sz w:val="22"/>
          <w:szCs w:val="22"/>
        </w:rPr>
        <w:t xml:space="preserve"> review</w:t>
      </w:r>
      <w:bookmarkEnd w:id="20"/>
      <w:r w:rsidRPr="001D15EE">
        <w:rPr>
          <w:rFonts w:asciiTheme="minorHAnsi" w:hAnsiTheme="minorHAnsi" w:cstheme="minorHAnsi"/>
          <w:noProof/>
          <w:sz w:val="22"/>
          <w:szCs w:val="22"/>
        </w:rPr>
        <w:t xml:space="preserve"> </w:t>
      </w:r>
    </w:p>
    <w:p w14:paraId="6B5C10F1" w14:textId="56A412E8" w:rsidR="002000C2" w:rsidRPr="001D15EE" w:rsidRDefault="002000C2" w:rsidP="007F72D6">
      <w:pPr>
        <w:spacing w:line="276" w:lineRule="auto"/>
        <w:rPr>
          <w:rFonts w:asciiTheme="minorHAnsi" w:hAnsiTheme="minorHAnsi" w:cstheme="minorHAnsi"/>
        </w:rPr>
      </w:pPr>
    </w:p>
    <w:p w14:paraId="0790309B" w14:textId="57E0EF87" w:rsidR="001D15EE" w:rsidRDefault="00001706" w:rsidP="007F72D6">
      <w:pPr>
        <w:pStyle w:val="Heading3"/>
        <w:spacing w:line="276" w:lineRule="auto"/>
        <w:rPr>
          <w:rFonts w:asciiTheme="minorHAnsi" w:hAnsiTheme="minorHAnsi" w:cstheme="minorHAnsi"/>
          <w:b/>
          <w:bCs/>
          <w:sz w:val="22"/>
          <w:szCs w:val="22"/>
        </w:rPr>
      </w:pPr>
      <w:bookmarkStart w:id="21" w:name="_Toc66828029"/>
      <w:r w:rsidRPr="001D15EE">
        <w:rPr>
          <w:rFonts w:asciiTheme="minorHAnsi" w:hAnsiTheme="minorHAnsi" w:cstheme="minorHAnsi"/>
          <w:b/>
          <w:bCs/>
          <w:sz w:val="22"/>
          <w:szCs w:val="22"/>
        </w:rPr>
        <w:t>3.1.1 Belgium</w:t>
      </w:r>
      <w:bookmarkEnd w:id="21"/>
    </w:p>
    <w:p w14:paraId="6B51E39C" w14:textId="77777777" w:rsidR="006F0AEA" w:rsidRPr="006F0AEA" w:rsidRDefault="006F0AEA" w:rsidP="007F72D6">
      <w:pPr>
        <w:spacing w:line="276" w:lineRule="auto"/>
      </w:pPr>
    </w:p>
    <w:p w14:paraId="1FCF56D8" w14:textId="17FB9166" w:rsidR="00C46D38" w:rsidRPr="00C46D38" w:rsidRDefault="0034590E" w:rsidP="007F72D6">
      <w:pPr>
        <w:spacing w:line="276" w:lineRule="auto"/>
        <w:jc w:val="both"/>
        <w:rPr>
          <w:rFonts w:ascii="Calibri" w:eastAsia="Calibri" w:hAnsi="Calibri" w:cs="Calibri"/>
          <w:sz w:val="22"/>
          <w:szCs w:val="22"/>
        </w:rPr>
      </w:pPr>
      <w:r>
        <w:rPr>
          <w:rFonts w:ascii="Calibri" w:eastAsia="Calibri" w:hAnsi="Calibri" w:cs="Calibri"/>
          <w:sz w:val="22"/>
          <w:szCs w:val="22"/>
        </w:rPr>
        <w:t>In</w:t>
      </w:r>
      <w:r w:rsidR="00916826" w:rsidRPr="00C46D38">
        <w:rPr>
          <w:rFonts w:ascii="Calibri" w:eastAsia="Calibri" w:hAnsi="Calibri" w:cs="Calibri"/>
          <w:sz w:val="22"/>
          <w:szCs w:val="22"/>
        </w:rPr>
        <w:t xml:space="preserve"> order </w:t>
      </w:r>
      <w:r>
        <w:rPr>
          <w:rFonts w:ascii="Calibri" w:eastAsia="Calibri" w:hAnsi="Calibri" w:cs="Calibri"/>
          <w:sz w:val="22"/>
          <w:szCs w:val="22"/>
        </w:rPr>
        <w:t xml:space="preserve">to be able to impose </w:t>
      </w:r>
      <w:r w:rsidR="00916826" w:rsidRPr="00C46D38">
        <w:rPr>
          <w:rFonts w:ascii="Calibri" w:eastAsia="Calibri" w:hAnsi="Calibri" w:cs="Calibri"/>
          <w:sz w:val="22"/>
          <w:szCs w:val="22"/>
        </w:rPr>
        <w:t>a detention measure, the Belgian Immigration Office (</w:t>
      </w:r>
      <w:r w:rsidR="00916826" w:rsidRPr="00C46D38">
        <w:rPr>
          <w:rFonts w:ascii="Calibri" w:eastAsia="Calibri" w:hAnsi="Calibri" w:cs="Calibri"/>
          <w:i/>
          <w:sz w:val="22"/>
          <w:szCs w:val="22"/>
        </w:rPr>
        <w:t>Dienst Vreemdelingenzaken</w:t>
      </w:r>
      <w:r w:rsidR="00916826" w:rsidRPr="00C46D38">
        <w:rPr>
          <w:rFonts w:ascii="Calibri" w:eastAsia="Calibri" w:hAnsi="Calibri" w:cs="Calibri"/>
          <w:sz w:val="22"/>
          <w:szCs w:val="22"/>
        </w:rPr>
        <w:t xml:space="preserve">) must obtain a valid </w:t>
      </w:r>
      <w:r w:rsidR="0023459F">
        <w:rPr>
          <w:rFonts w:ascii="Calibri" w:eastAsia="Calibri" w:hAnsi="Calibri" w:cs="Calibri"/>
          <w:sz w:val="22"/>
          <w:szCs w:val="22"/>
        </w:rPr>
        <w:t>return order</w:t>
      </w:r>
      <w:r w:rsidR="00916826" w:rsidRPr="00C46D38">
        <w:rPr>
          <w:rFonts w:ascii="Calibri" w:eastAsia="Calibri" w:hAnsi="Calibri" w:cs="Calibri"/>
          <w:sz w:val="22"/>
          <w:szCs w:val="22"/>
        </w:rPr>
        <w:t>.</w:t>
      </w:r>
      <w:r w:rsidR="00916826" w:rsidRPr="00C46D38">
        <w:rPr>
          <w:rFonts w:ascii="Calibri" w:eastAsia="Calibri" w:hAnsi="Calibri" w:cs="Calibri"/>
          <w:sz w:val="22"/>
          <w:szCs w:val="22"/>
          <w:vertAlign w:val="superscript"/>
        </w:rPr>
        <w:footnoteReference w:id="39"/>
      </w:r>
      <w:r w:rsidR="00916826" w:rsidRPr="00C46D38">
        <w:rPr>
          <w:rFonts w:ascii="Calibri" w:eastAsia="Calibri" w:hAnsi="Calibri" w:cs="Calibri"/>
          <w:sz w:val="22"/>
          <w:szCs w:val="22"/>
        </w:rPr>
        <w:t xml:space="preserve"> A</w:t>
      </w:r>
      <w:r w:rsidR="0047798E" w:rsidRPr="00C46D38">
        <w:rPr>
          <w:rFonts w:ascii="Calibri" w:eastAsia="Calibri" w:hAnsi="Calibri" w:cs="Calibri"/>
          <w:sz w:val="22"/>
          <w:szCs w:val="22"/>
        </w:rPr>
        <w:t xml:space="preserve"> </w:t>
      </w:r>
      <w:r w:rsidR="00916826" w:rsidRPr="00C46D38">
        <w:rPr>
          <w:rFonts w:ascii="Calibri" w:eastAsia="Calibri" w:hAnsi="Calibri" w:cs="Calibri"/>
          <w:sz w:val="22"/>
          <w:szCs w:val="22"/>
        </w:rPr>
        <w:t>person can be detained for a maximum of two months, after which prolongation up to five months is possible.</w:t>
      </w:r>
      <w:r w:rsidR="0047798E" w:rsidRPr="00C46D38">
        <w:rPr>
          <w:rFonts w:ascii="Calibri" w:eastAsia="Calibri" w:hAnsi="Calibri" w:cs="Calibri"/>
          <w:sz w:val="22"/>
          <w:szCs w:val="22"/>
        </w:rPr>
        <w:t xml:space="preserve"> A TCN can appeal the detention measure before the criminal court</w:t>
      </w:r>
      <w:r w:rsidR="006F0AEA" w:rsidRPr="00C46D38">
        <w:rPr>
          <w:rFonts w:ascii="Calibri" w:eastAsia="Calibri" w:hAnsi="Calibri" w:cs="Calibri"/>
          <w:sz w:val="22"/>
          <w:szCs w:val="22"/>
        </w:rPr>
        <w:t>.</w:t>
      </w:r>
      <w:r w:rsidR="006F0AEA" w:rsidRPr="00C46D38">
        <w:rPr>
          <w:rStyle w:val="FootnoteReference"/>
          <w:rFonts w:ascii="Calibri" w:eastAsia="Calibri" w:hAnsi="Calibri" w:cs="Calibri"/>
          <w:sz w:val="22"/>
          <w:szCs w:val="22"/>
        </w:rPr>
        <w:footnoteReference w:id="40"/>
      </w:r>
      <w:r w:rsidR="00C46D38" w:rsidRPr="00C46D38">
        <w:rPr>
          <w:rFonts w:ascii="Calibri" w:eastAsia="Calibri" w:hAnsi="Calibri" w:cs="Calibri"/>
          <w:sz w:val="22"/>
          <w:szCs w:val="22"/>
        </w:rPr>
        <w:t xml:space="preserve"> Belgian law does not impose a time limit within which an appeal should be submitted, nor will the appeal automatically be submitted on behalf of the applicant.</w:t>
      </w:r>
      <w:r w:rsidR="00C46D38" w:rsidRPr="00C46D38">
        <w:rPr>
          <w:rFonts w:ascii="Calibri" w:eastAsia="Calibri" w:hAnsi="Calibri" w:cs="Calibri"/>
          <w:sz w:val="22"/>
          <w:szCs w:val="22"/>
          <w:vertAlign w:val="superscript"/>
        </w:rPr>
        <w:footnoteReference w:id="41"/>
      </w:r>
      <w:r w:rsidR="00C46D38" w:rsidRPr="00C46D38">
        <w:rPr>
          <w:rFonts w:ascii="Calibri" w:eastAsia="Calibri" w:hAnsi="Calibri" w:cs="Calibri"/>
          <w:sz w:val="22"/>
          <w:szCs w:val="22"/>
        </w:rPr>
        <w:t xml:space="preserve"> The first automatic review happens after four months, when the minister decides to prolong the detention measure </w:t>
      </w:r>
      <w:r w:rsidR="0023459F">
        <w:rPr>
          <w:rFonts w:ascii="Calibri" w:eastAsia="Calibri" w:hAnsi="Calibri" w:cs="Calibri"/>
          <w:sz w:val="22"/>
          <w:szCs w:val="22"/>
        </w:rPr>
        <w:t>a</w:t>
      </w:r>
      <w:r w:rsidR="00C46D38" w:rsidRPr="00C46D38">
        <w:rPr>
          <w:rFonts w:ascii="Calibri" w:eastAsia="Calibri" w:hAnsi="Calibri" w:cs="Calibri"/>
          <w:sz w:val="22"/>
          <w:szCs w:val="22"/>
        </w:rPr>
        <w:t xml:space="preserve"> second time.</w:t>
      </w:r>
      <w:r w:rsidR="00C46D38" w:rsidRPr="00C46D38">
        <w:rPr>
          <w:rFonts w:ascii="Calibri" w:eastAsia="Calibri" w:hAnsi="Calibri" w:cs="Calibri"/>
          <w:sz w:val="22"/>
          <w:szCs w:val="22"/>
          <w:vertAlign w:val="superscript"/>
        </w:rPr>
        <w:footnoteReference w:id="42"/>
      </w:r>
      <w:r w:rsidR="00C46D38" w:rsidRPr="00C46D38">
        <w:rPr>
          <w:rFonts w:ascii="Calibri" w:eastAsia="Calibri" w:hAnsi="Calibri" w:cs="Calibri"/>
          <w:sz w:val="22"/>
          <w:szCs w:val="22"/>
        </w:rPr>
        <w:t xml:space="preserve"> </w:t>
      </w:r>
    </w:p>
    <w:p w14:paraId="3CC3D9C4" w14:textId="0C4B89AD" w:rsidR="00C46D38" w:rsidRDefault="00916826" w:rsidP="007F72D6">
      <w:pPr>
        <w:spacing w:line="276" w:lineRule="auto"/>
        <w:ind w:firstLine="720"/>
        <w:jc w:val="both"/>
        <w:rPr>
          <w:rFonts w:ascii="Calibri" w:eastAsia="Calibri" w:hAnsi="Calibri" w:cs="Calibri"/>
          <w:sz w:val="22"/>
          <w:szCs w:val="22"/>
        </w:rPr>
      </w:pPr>
      <w:r w:rsidRPr="00C46D38">
        <w:rPr>
          <w:rFonts w:ascii="Calibri" w:eastAsia="Calibri" w:hAnsi="Calibri" w:cs="Calibri"/>
          <w:sz w:val="22"/>
          <w:szCs w:val="22"/>
        </w:rPr>
        <w:t>The applicant cannot appeal sole</w:t>
      </w:r>
      <w:r w:rsidR="0023459F">
        <w:rPr>
          <w:rFonts w:ascii="Calibri" w:eastAsia="Calibri" w:hAnsi="Calibri" w:cs="Calibri"/>
          <w:sz w:val="22"/>
          <w:szCs w:val="22"/>
        </w:rPr>
        <w:t>ly on the</w:t>
      </w:r>
      <w:r w:rsidRPr="00C46D38">
        <w:rPr>
          <w:rFonts w:ascii="Calibri" w:eastAsia="Calibri" w:hAnsi="Calibri" w:cs="Calibri"/>
          <w:sz w:val="22"/>
          <w:szCs w:val="22"/>
        </w:rPr>
        <w:t xml:space="preserve"> ground that he has been detained</w:t>
      </w:r>
      <w:r w:rsidR="00C46D38" w:rsidRPr="00C46D38">
        <w:rPr>
          <w:rFonts w:ascii="Calibri" w:eastAsia="Calibri" w:hAnsi="Calibri" w:cs="Calibri"/>
          <w:sz w:val="22"/>
          <w:szCs w:val="22"/>
        </w:rPr>
        <w:t>. They must mention</w:t>
      </w:r>
      <w:r w:rsidRPr="00C46D38">
        <w:rPr>
          <w:rFonts w:ascii="Calibri" w:eastAsia="Calibri" w:hAnsi="Calibri" w:cs="Calibri"/>
          <w:sz w:val="22"/>
          <w:szCs w:val="22"/>
        </w:rPr>
        <w:t xml:space="preserve"> the specific elements that are to be reviewed by the investigative judge.</w:t>
      </w:r>
      <w:r w:rsidRPr="00C46D38">
        <w:rPr>
          <w:rFonts w:ascii="Calibri" w:eastAsia="Calibri" w:hAnsi="Calibri" w:cs="Calibri"/>
          <w:sz w:val="22"/>
          <w:szCs w:val="22"/>
          <w:vertAlign w:val="superscript"/>
        </w:rPr>
        <w:footnoteReference w:id="43"/>
      </w:r>
      <w:r w:rsidRPr="00C46D38">
        <w:rPr>
          <w:rFonts w:ascii="Calibri" w:eastAsia="Calibri" w:hAnsi="Calibri" w:cs="Calibri"/>
          <w:sz w:val="22"/>
          <w:szCs w:val="22"/>
        </w:rPr>
        <w:t xml:space="preserve"> </w:t>
      </w:r>
      <w:r w:rsidR="00C46D38" w:rsidRPr="00C46D38">
        <w:rPr>
          <w:rFonts w:ascii="Calibri" w:eastAsia="Calibri" w:hAnsi="Calibri" w:cs="Calibri"/>
          <w:sz w:val="22"/>
          <w:szCs w:val="22"/>
        </w:rPr>
        <w:t xml:space="preserve">In cases where the applicant does not specify which type of arrest </w:t>
      </w:r>
      <w:r w:rsidR="0023459F">
        <w:rPr>
          <w:rFonts w:ascii="Calibri" w:eastAsia="Calibri" w:hAnsi="Calibri" w:cs="Calibri"/>
          <w:sz w:val="22"/>
          <w:szCs w:val="22"/>
        </w:rPr>
        <w:t>t</w:t>
      </w:r>
      <w:r w:rsidR="00C46D38" w:rsidRPr="00C46D38">
        <w:rPr>
          <w:rFonts w:ascii="Calibri" w:eastAsia="Calibri" w:hAnsi="Calibri" w:cs="Calibri"/>
          <w:sz w:val="22"/>
          <w:szCs w:val="22"/>
        </w:rPr>
        <w:t>he</w:t>
      </w:r>
      <w:r w:rsidR="0023459F">
        <w:rPr>
          <w:rFonts w:ascii="Calibri" w:eastAsia="Calibri" w:hAnsi="Calibri" w:cs="Calibri"/>
          <w:sz w:val="22"/>
          <w:szCs w:val="22"/>
        </w:rPr>
        <w:t>y</w:t>
      </w:r>
      <w:r w:rsidR="00C46D38" w:rsidRPr="00C46D38">
        <w:rPr>
          <w:rFonts w:ascii="Calibri" w:eastAsia="Calibri" w:hAnsi="Calibri" w:cs="Calibri"/>
          <w:sz w:val="22"/>
          <w:szCs w:val="22"/>
        </w:rPr>
        <w:t xml:space="preserve"> </w:t>
      </w:r>
      <w:r w:rsidR="0023459F">
        <w:rPr>
          <w:rFonts w:ascii="Calibri" w:eastAsia="Calibri" w:hAnsi="Calibri" w:cs="Calibri"/>
          <w:sz w:val="22"/>
          <w:szCs w:val="22"/>
        </w:rPr>
        <w:t>are</w:t>
      </w:r>
      <w:r w:rsidR="00C46D38" w:rsidRPr="00C46D38">
        <w:rPr>
          <w:rFonts w:ascii="Calibri" w:eastAsia="Calibri" w:hAnsi="Calibri" w:cs="Calibri"/>
          <w:sz w:val="22"/>
          <w:szCs w:val="22"/>
        </w:rPr>
        <w:t xml:space="preserve"> challenging, the investigative judge will decide, based on the information on the respective case, which type of arrest the case concerned.</w:t>
      </w:r>
      <w:r w:rsidR="00C46D38" w:rsidRPr="00C46D38">
        <w:rPr>
          <w:rFonts w:ascii="Calibri" w:eastAsia="Calibri" w:hAnsi="Calibri" w:cs="Calibri"/>
          <w:sz w:val="22"/>
          <w:szCs w:val="22"/>
          <w:vertAlign w:val="superscript"/>
        </w:rPr>
        <w:footnoteReference w:id="44"/>
      </w:r>
      <w:r w:rsidR="00C46D38" w:rsidRPr="00C46D38">
        <w:rPr>
          <w:rFonts w:ascii="Calibri" w:eastAsia="Calibri" w:hAnsi="Calibri" w:cs="Calibri"/>
          <w:sz w:val="22"/>
          <w:szCs w:val="22"/>
        </w:rPr>
        <w:t xml:space="preserve"> </w:t>
      </w:r>
    </w:p>
    <w:p w14:paraId="1FFBEF0D" w14:textId="662A03E0" w:rsidR="00C46D38" w:rsidRPr="007D76B8" w:rsidRDefault="00C46D38" w:rsidP="007F72D6">
      <w:pPr>
        <w:spacing w:line="276" w:lineRule="auto"/>
        <w:ind w:firstLine="720"/>
        <w:jc w:val="both"/>
        <w:rPr>
          <w:rFonts w:ascii="Calibri" w:eastAsia="Calibri" w:hAnsi="Calibri" w:cs="Calibri"/>
          <w:sz w:val="22"/>
          <w:szCs w:val="22"/>
        </w:rPr>
      </w:pPr>
      <w:r w:rsidRPr="00C46D38">
        <w:rPr>
          <w:rFonts w:ascii="Calibri" w:eastAsia="Calibri" w:hAnsi="Calibri" w:cs="Calibri"/>
          <w:sz w:val="22"/>
          <w:szCs w:val="22"/>
        </w:rPr>
        <w:t>T</w:t>
      </w:r>
      <w:r w:rsidRPr="00E37AFD">
        <w:rPr>
          <w:rFonts w:ascii="Calibri" w:eastAsia="Calibri" w:hAnsi="Calibri" w:cs="Calibri"/>
          <w:sz w:val="22"/>
          <w:szCs w:val="22"/>
        </w:rPr>
        <w:t xml:space="preserve">he criminal court is competent to examine whether the detention is in conformity with the law, but may not rule on its </w:t>
      </w:r>
      <w:r w:rsidR="00E37AFD" w:rsidRPr="00E37AFD">
        <w:rPr>
          <w:rFonts w:ascii="Calibri" w:eastAsia="Calibri" w:hAnsi="Calibri" w:cs="Calibri"/>
          <w:sz w:val="22"/>
          <w:szCs w:val="22"/>
        </w:rPr>
        <w:t>appropriateness</w:t>
      </w:r>
      <w:r w:rsidRPr="00E37AFD">
        <w:rPr>
          <w:rFonts w:ascii="Calibri" w:eastAsia="Calibri" w:hAnsi="Calibri" w:cs="Calibri"/>
          <w:sz w:val="22"/>
          <w:szCs w:val="22"/>
        </w:rPr>
        <w:t>.</w:t>
      </w:r>
      <w:r w:rsidRPr="00E37AFD">
        <w:rPr>
          <w:rStyle w:val="FootnoteReference"/>
          <w:rFonts w:ascii="Calibri" w:eastAsia="Calibri" w:hAnsi="Calibri" w:cs="Calibri"/>
          <w:sz w:val="22"/>
          <w:szCs w:val="22"/>
        </w:rPr>
        <w:footnoteReference w:id="45"/>
      </w:r>
      <w:r w:rsidR="00E37AFD" w:rsidRPr="00E37AFD">
        <w:rPr>
          <w:rFonts w:ascii="Calibri" w:eastAsia="Calibri" w:hAnsi="Calibri" w:cs="Calibri"/>
          <w:sz w:val="22"/>
          <w:szCs w:val="22"/>
        </w:rPr>
        <w:t xml:space="preserve"> Th</w:t>
      </w:r>
      <w:r w:rsidR="0023459F">
        <w:rPr>
          <w:rFonts w:ascii="Calibri" w:eastAsia="Calibri" w:hAnsi="Calibri" w:cs="Calibri"/>
          <w:sz w:val="22"/>
          <w:szCs w:val="22"/>
        </w:rPr>
        <w:t xml:space="preserve">is latter question </w:t>
      </w:r>
      <w:r w:rsidR="00E37AFD" w:rsidRPr="00E37AFD">
        <w:rPr>
          <w:rFonts w:ascii="Calibri" w:eastAsia="Calibri" w:hAnsi="Calibri" w:cs="Calibri"/>
          <w:sz w:val="22"/>
          <w:szCs w:val="22"/>
        </w:rPr>
        <w:t xml:space="preserve">is reserved for the </w:t>
      </w:r>
      <w:r w:rsidR="00E37AFD" w:rsidRPr="007D76B8">
        <w:rPr>
          <w:rFonts w:ascii="Calibri" w:eastAsia="Calibri" w:hAnsi="Calibri" w:cs="Calibri"/>
          <w:sz w:val="22"/>
          <w:szCs w:val="22"/>
        </w:rPr>
        <w:t xml:space="preserve">Secretary of Asylum and Migration. </w:t>
      </w:r>
      <w:r w:rsidRPr="007D76B8">
        <w:rPr>
          <w:rFonts w:ascii="Calibri" w:eastAsia="Calibri" w:hAnsi="Calibri" w:cs="Calibri"/>
          <w:sz w:val="22"/>
          <w:szCs w:val="22"/>
        </w:rPr>
        <w:t xml:space="preserve">The court </w:t>
      </w:r>
      <w:r w:rsidR="00E37AFD" w:rsidRPr="007D76B8">
        <w:rPr>
          <w:rFonts w:ascii="Calibri" w:eastAsia="Calibri" w:hAnsi="Calibri" w:cs="Calibri"/>
          <w:sz w:val="22"/>
          <w:szCs w:val="22"/>
        </w:rPr>
        <w:t xml:space="preserve">is also not allowed to </w:t>
      </w:r>
      <w:r w:rsidRPr="007D76B8">
        <w:rPr>
          <w:rFonts w:ascii="Calibri" w:eastAsia="Calibri" w:hAnsi="Calibri" w:cs="Calibri"/>
          <w:sz w:val="22"/>
          <w:szCs w:val="22"/>
        </w:rPr>
        <w:t xml:space="preserve">substitute its own decision for that of the </w:t>
      </w:r>
      <w:r w:rsidRPr="007D76B8">
        <w:rPr>
          <w:rFonts w:ascii="Calibri" w:eastAsia="Calibri" w:hAnsi="Calibri" w:cs="Calibri"/>
          <w:sz w:val="22"/>
          <w:szCs w:val="22"/>
        </w:rPr>
        <w:lastRenderedPageBreak/>
        <w:t>administrative authority.</w:t>
      </w:r>
      <w:r w:rsidRPr="007D76B8">
        <w:rPr>
          <w:rFonts w:ascii="Calibri" w:eastAsia="Calibri" w:hAnsi="Calibri" w:cs="Calibri"/>
          <w:sz w:val="22"/>
          <w:szCs w:val="22"/>
          <w:vertAlign w:val="superscript"/>
        </w:rPr>
        <w:footnoteReference w:id="46"/>
      </w:r>
      <w:r w:rsidRPr="007D76B8">
        <w:rPr>
          <w:rFonts w:ascii="Calibri" w:eastAsia="Calibri" w:hAnsi="Calibri" w:cs="Calibri"/>
          <w:sz w:val="22"/>
          <w:szCs w:val="22"/>
        </w:rPr>
        <w:t xml:space="preserve"> </w:t>
      </w:r>
      <w:r w:rsidR="007D76B8" w:rsidRPr="007D76B8">
        <w:rPr>
          <w:rFonts w:ascii="Calibri" w:eastAsia="Calibri" w:hAnsi="Calibri" w:cs="Calibri"/>
          <w:sz w:val="22"/>
          <w:szCs w:val="22"/>
        </w:rPr>
        <w:t xml:space="preserve">The Court of Cassation has for example ruled in 2013 that by ruling that the illegal activities of the TCN did not serious endanger public order and national security, the criminal court has substituted its appreciation of the fact for that of the Migration Office. In doing so, it exceeded the limits of the </w:t>
      </w:r>
      <w:r w:rsidR="0023459F">
        <w:rPr>
          <w:rFonts w:ascii="Calibri" w:eastAsia="Calibri" w:hAnsi="Calibri" w:cs="Calibri"/>
          <w:sz w:val="22"/>
          <w:szCs w:val="22"/>
        </w:rPr>
        <w:t>r</w:t>
      </w:r>
      <w:r w:rsidR="007D76B8" w:rsidRPr="007D76B8">
        <w:rPr>
          <w:rFonts w:ascii="Calibri" w:eastAsia="Calibri" w:hAnsi="Calibri" w:cs="Calibri"/>
          <w:sz w:val="22"/>
          <w:szCs w:val="22"/>
        </w:rPr>
        <w:t>eview.</w:t>
      </w:r>
      <w:r w:rsidR="007D76B8" w:rsidRPr="007D76B8">
        <w:rPr>
          <w:rFonts w:ascii="Calibri" w:eastAsia="Calibri" w:hAnsi="Calibri" w:cs="Calibri"/>
          <w:sz w:val="22"/>
          <w:szCs w:val="22"/>
          <w:vertAlign w:val="superscript"/>
        </w:rPr>
        <w:footnoteReference w:id="47"/>
      </w:r>
      <w:r w:rsidR="007D76B8" w:rsidRPr="007D76B8">
        <w:rPr>
          <w:rFonts w:ascii="Calibri" w:eastAsia="Calibri" w:hAnsi="Calibri" w:cs="Calibri"/>
          <w:sz w:val="22"/>
          <w:szCs w:val="22"/>
        </w:rPr>
        <w:t xml:space="preserve"> </w:t>
      </w:r>
      <w:r w:rsidRPr="007D76B8">
        <w:rPr>
          <w:rFonts w:ascii="Calibri" w:eastAsia="Calibri" w:hAnsi="Calibri" w:cs="Calibri"/>
          <w:sz w:val="22"/>
          <w:szCs w:val="22"/>
        </w:rPr>
        <w:t xml:space="preserve">The demarcation of competences in detention cases, between the executive </w:t>
      </w:r>
      <w:r w:rsidRPr="007D76B8">
        <w:rPr>
          <w:rFonts w:asciiTheme="minorHAnsi" w:eastAsia="Calibri" w:hAnsiTheme="minorHAnsi" w:cstheme="minorHAnsi"/>
          <w:sz w:val="22"/>
          <w:szCs w:val="22"/>
        </w:rPr>
        <w:t>branch and the judiciary, stems from Article 237(3) of the Belgian Constitution</w:t>
      </w:r>
      <w:r w:rsidR="00341110">
        <w:rPr>
          <w:rFonts w:asciiTheme="minorHAnsi" w:eastAsia="Calibri" w:hAnsiTheme="minorHAnsi" w:cstheme="minorHAnsi"/>
          <w:sz w:val="22"/>
          <w:szCs w:val="22"/>
        </w:rPr>
        <w:t xml:space="preserve"> </w:t>
      </w:r>
      <w:r w:rsidRPr="007D76B8">
        <w:rPr>
          <w:rFonts w:asciiTheme="minorHAnsi" w:eastAsia="Calibri" w:hAnsiTheme="minorHAnsi" w:cstheme="minorHAnsi"/>
          <w:sz w:val="22"/>
          <w:szCs w:val="22"/>
        </w:rPr>
        <w:t>and the constitutional principle of separation of powers.</w:t>
      </w:r>
      <w:r w:rsidRPr="007D76B8">
        <w:rPr>
          <w:rFonts w:asciiTheme="minorHAnsi" w:eastAsia="Calibri" w:hAnsiTheme="minorHAnsi" w:cstheme="minorHAnsi"/>
          <w:sz w:val="22"/>
          <w:szCs w:val="22"/>
          <w:vertAlign w:val="superscript"/>
        </w:rPr>
        <w:footnoteReference w:id="48"/>
      </w:r>
      <w:r w:rsidRPr="007D76B8">
        <w:rPr>
          <w:rFonts w:asciiTheme="minorHAnsi" w:eastAsia="Calibri" w:hAnsiTheme="minorHAnsi" w:cstheme="minorHAnsi"/>
          <w:sz w:val="22"/>
          <w:szCs w:val="22"/>
        </w:rPr>
        <w:t xml:space="preserve"> </w:t>
      </w:r>
      <w:r w:rsidR="00E37AFD" w:rsidRPr="007D76B8">
        <w:rPr>
          <w:rFonts w:asciiTheme="minorHAnsi" w:eastAsia="Calibri" w:hAnsiTheme="minorHAnsi" w:cstheme="minorHAnsi"/>
          <w:color w:val="000000" w:themeColor="text1"/>
          <w:sz w:val="22"/>
          <w:szCs w:val="22"/>
        </w:rPr>
        <w:t>Sarolea</w:t>
      </w:r>
      <w:r w:rsidR="00E37AFD" w:rsidRPr="007D76B8">
        <w:rPr>
          <w:rFonts w:asciiTheme="minorHAnsi" w:eastAsia="Calibri" w:hAnsiTheme="minorHAnsi" w:cstheme="minorHAnsi"/>
          <w:sz w:val="22"/>
          <w:szCs w:val="22"/>
        </w:rPr>
        <w:t xml:space="preserve"> </w:t>
      </w:r>
      <w:r w:rsidRPr="007D76B8">
        <w:rPr>
          <w:rFonts w:asciiTheme="minorHAnsi" w:eastAsia="Calibri" w:hAnsiTheme="minorHAnsi" w:cstheme="minorHAnsi"/>
          <w:sz w:val="22"/>
          <w:szCs w:val="22"/>
        </w:rPr>
        <w:t>note</w:t>
      </w:r>
      <w:r w:rsidR="00E37AFD" w:rsidRPr="007D76B8">
        <w:rPr>
          <w:rFonts w:asciiTheme="minorHAnsi" w:eastAsia="Calibri" w:hAnsiTheme="minorHAnsi" w:cstheme="minorHAnsi"/>
          <w:sz w:val="22"/>
          <w:szCs w:val="22"/>
        </w:rPr>
        <w:t>s</w:t>
      </w:r>
      <w:r w:rsidRPr="007D76B8">
        <w:rPr>
          <w:rFonts w:asciiTheme="minorHAnsi" w:eastAsia="Calibri" w:hAnsiTheme="minorHAnsi" w:cstheme="minorHAnsi"/>
          <w:sz w:val="22"/>
          <w:szCs w:val="22"/>
        </w:rPr>
        <w:t xml:space="preserve"> that the Belgian case law is divided between, on the one hand, restrictive exercise of judicial review based on a marginal review of legality, and on the other hand a broader approach including proportionality.</w:t>
      </w:r>
      <w:r w:rsidRPr="007D76B8">
        <w:rPr>
          <w:rFonts w:asciiTheme="minorHAnsi" w:eastAsia="Calibri" w:hAnsiTheme="minorHAnsi" w:cstheme="minorHAnsi"/>
          <w:sz w:val="22"/>
          <w:szCs w:val="22"/>
          <w:vertAlign w:val="superscript"/>
        </w:rPr>
        <w:footnoteReference w:id="49"/>
      </w:r>
    </w:p>
    <w:p w14:paraId="08DC0F51" w14:textId="69E67637" w:rsidR="00916826" w:rsidRPr="007D76B8" w:rsidRDefault="00C46D38" w:rsidP="007F72D6">
      <w:pPr>
        <w:spacing w:line="276" w:lineRule="auto"/>
        <w:ind w:firstLine="720"/>
        <w:jc w:val="both"/>
        <w:rPr>
          <w:rFonts w:ascii="Calibri" w:eastAsia="Calibri" w:hAnsi="Calibri" w:cs="Calibri"/>
          <w:sz w:val="22"/>
          <w:szCs w:val="22"/>
        </w:rPr>
      </w:pPr>
      <w:r w:rsidRPr="007D76B8">
        <w:rPr>
          <w:rFonts w:ascii="Calibri" w:eastAsia="Calibri" w:hAnsi="Calibri" w:cs="Calibri"/>
          <w:sz w:val="22"/>
          <w:szCs w:val="22"/>
        </w:rPr>
        <w:t>Once the detention measure is prolonged, the review of the investigative judge in the appeal procedure becomes broader.</w:t>
      </w:r>
      <w:r w:rsidRPr="007D76B8">
        <w:rPr>
          <w:rFonts w:ascii="Calibri" w:eastAsia="Calibri" w:hAnsi="Calibri" w:cs="Calibri"/>
          <w:sz w:val="22"/>
          <w:szCs w:val="22"/>
          <w:vertAlign w:val="superscript"/>
        </w:rPr>
        <w:footnoteReference w:id="50"/>
      </w:r>
      <w:r w:rsidR="00E37AFD" w:rsidRPr="007D76B8">
        <w:rPr>
          <w:rFonts w:ascii="Calibri" w:eastAsia="Calibri" w:hAnsi="Calibri" w:cs="Calibri"/>
          <w:sz w:val="22"/>
          <w:szCs w:val="22"/>
        </w:rPr>
        <w:t xml:space="preserve"> </w:t>
      </w:r>
      <w:r w:rsidRPr="007D76B8">
        <w:rPr>
          <w:rFonts w:ascii="Calibri" w:eastAsia="Calibri" w:hAnsi="Calibri" w:cs="Calibri"/>
          <w:sz w:val="22"/>
          <w:szCs w:val="22"/>
        </w:rPr>
        <w:t xml:space="preserve">The judge reviews whether </w:t>
      </w:r>
      <w:r w:rsidR="0023459F">
        <w:rPr>
          <w:rFonts w:ascii="Calibri" w:eastAsia="Calibri" w:hAnsi="Calibri" w:cs="Calibri"/>
          <w:sz w:val="22"/>
          <w:szCs w:val="22"/>
        </w:rPr>
        <w:t>all</w:t>
      </w:r>
      <w:r w:rsidR="00047AC9">
        <w:rPr>
          <w:rFonts w:ascii="Calibri" w:eastAsia="Calibri" w:hAnsi="Calibri" w:cs="Calibri"/>
          <w:sz w:val="22"/>
          <w:szCs w:val="22"/>
        </w:rPr>
        <w:t xml:space="preserve"> </w:t>
      </w:r>
      <w:r w:rsidRPr="007D76B8">
        <w:rPr>
          <w:rFonts w:ascii="Calibri" w:eastAsia="Calibri" w:hAnsi="Calibri" w:cs="Calibri"/>
          <w:sz w:val="22"/>
          <w:szCs w:val="22"/>
        </w:rPr>
        <w:t xml:space="preserve">conditions for detention were respected and whether the </w:t>
      </w:r>
      <w:r w:rsidR="00E37AFD" w:rsidRPr="007D76B8">
        <w:rPr>
          <w:rFonts w:ascii="Calibri" w:eastAsia="Calibri" w:hAnsi="Calibri" w:cs="Calibri"/>
          <w:sz w:val="22"/>
          <w:szCs w:val="22"/>
        </w:rPr>
        <w:t>a</w:t>
      </w:r>
      <w:r w:rsidRPr="007D76B8">
        <w:rPr>
          <w:rFonts w:ascii="Calibri" w:eastAsia="Calibri" w:hAnsi="Calibri" w:cs="Calibri"/>
          <w:sz w:val="22"/>
          <w:szCs w:val="22"/>
        </w:rPr>
        <w:t xml:space="preserve">dministrative </w:t>
      </w:r>
      <w:r w:rsidR="00E37AFD" w:rsidRPr="007D76B8">
        <w:rPr>
          <w:rFonts w:ascii="Calibri" w:eastAsia="Calibri" w:hAnsi="Calibri" w:cs="Calibri"/>
          <w:sz w:val="22"/>
          <w:szCs w:val="22"/>
        </w:rPr>
        <w:t>a</w:t>
      </w:r>
      <w:r w:rsidRPr="007D76B8">
        <w:rPr>
          <w:rFonts w:ascii="Calibri" w:eastAsia="Calibri" w:hAnsi="Calibri" w:cs="Calibri"/>
          <w:sz w:val="22"/>
          <w:szCs w:val="22"/>
        </w:rPr>
        <w:t>uthorities</w:t>
      </w:r>
      <w:r w:rsidR="00E37AFD" w:rsidRPr="007D76B8">
        <w:rPr>
          <w:rFonts w:ascii="Calibri" w:eastAsia="Calibri" w:hAnsi="Calibri" w:cs="Calibri"/>
          <w:sz w:val="22"/>
          <w:szCs w:val="22"/>
        </w:rPr>
        <w:t xml:space="preserve"> </w:t>
      </w:r>
      <w:r w:rsidRPr="007D76B8">
        <w:rPr>
          <w:rFonts w:ascii="Calibri" w:eastAsia="Calibri" w:hAnsi="Calibri" w:cs="Calibri"/>
          <w:sz w:val="22"/>
          <w:szCs w:val="22"/>
        </w:rPr>
        <w:t xml:space="preserve">have conducted </w:t>
      </w:r>
      <w:r w:rsidR="00E37AFD" w:rsidRPr="007D76B8">
        <w:rPr>
          <w:rFonts w:ascii="Calibri" w:eastAsia="Calibri" w:hAnsi="Calibri" w:cs="Calibri"/>
          <w:sz w:val="22"/>
          <w:szCs w:val="22"/>
        </w:rPr>
        <w:t xml:space="preserve">the </w:t>
      </w:r>
      <w:r w:rsidRPr="007D76B8">
        <w:rPr>
          <w:rFonts w:ascii="Calibri" w:eastAsia="Calibri" w:hAnsi="Calibri" w:cs="Calibri"/>
          <w:sz w:val="22"/>
          <w:szCs w:val="22"/>
        </w:rPr>
        <w:t>necessary efforts for an effective repatriation. The judge also reviews whether the effective repatriation within a reasonable time period is still possible.</w:t>
      </w:r>
      <w:r w:rsidRPr="007D76B8">
        <w:rPr>
          <w:rFonts w:ascii="Calibri" w:eastAsia="Calibri" w:hAnsi="Calibri" w:cs="Calibri"/>
          <w:sz w:val="22"/>
          <w:szCs w:val="22"/>
          <w:vertAlign w:val="superscript"/>
        </w:rPr>
        <w:footnoteReference w:id="51"/>
      </w:r>
      <w:r w:rsidRPr="007D76B8">
        <w:rPr>
          <w:rFonts w:ascii="Calibri" w:eastAsia="Calibri" w:hAnsi="Calibri" w:cs="Calibri"/>
          <w:sz w:val="22"/>
          <w:szCs w:val="22"/>
        </w:rPr>
        <w:t xml:space="preserve"> The legality review of the judge refers to the formal validity of the measure, such as whether the </w:t>
      </w:r>
      <w:r w:rsidR="007D76B8">
        <w:rPr>
          <w:rFonts w:ascii="Calibri" w:eastAsia="Calibri" w:hAnsi="Calibri" w:cs="Calibri"/>
          <w:sz w:val="22"/>
          <w:szCs w:val="22"/>
        </w:rPr>
        <w:t>reasons</w:t>
      </w:r>
      <w:r w:rsidRPr="007D76B8">
        <w:rPr>
          <w:rFonts w:ascii="Calibri" w:eastAsia="Calibri" w:hAnsi="Calibri" w:cs="Calibri"/>
          <w:sz w:val="22"/>
          <w:szCs w:val="22"/>
        </w:rPr>
        <w:t xml:space="preserve"> </w:t>
      </w:r>
      <w:r w:rsidR="007D76B8">
        <w:rPr>
          <w:rFonts w:ascii="Calibri" w:eastAsia="Calibri" w:hAnsi="Calibri" w:cs="Calibri"/>
          <w:sz w:val="22"/>
          <w:szCs w:val="22"/>
        </w:rPr>
        <w:t>for</w:t>
      </w:r>
      <w:r w:rsidRPr="007D76B8">
        <w:rPr>
          <w:rFonts w:ascii="Calibri" w:eastAsia="Calibri" w:hAnsi="Calibri" w:cs="Calibri"/>
          <w:sz w:val="22"/>
          <w:szCs w:val="22"/>
        </w:rPr>
        <w:t xml:space="preserve"> the detention measure </w:t>
      </w:r>
      <w:r w:rsidR="007D76B8">
        <w:rPr>
          <w:rFonts w:ascii="Calibri" w:eastAsia="Calibri" w:hAnsi="Calibri" w:cs="Calibri"/>
          <w:sz w:val="22"/>
          <w:szCs w:val="22"/>
        </w:rPr>
        <w:t>are</w:t>
      </w:r>
      <w:r w:rsidRPr="007D76B8">
        <w:rPr>
          <w:rFonts w:ascii="Calibri" w:eastAsia="Calibri" w:hAnsi="Calibri" w:cs="Calibri"/>
          <w:sz w:val="22"/>
          <w:szCs w:val="22"/>
        </w:rPr>
        <w:t xml:space="preserve"> in accordance with</w:t>
      </w:r>
      <w:r w:rsidR="007D76B8">
        <w:rPr>
          <w:rFonts w:ascii="Calibri" w:eastAsia="Calibri" w:hAnsi="Calibri" w:cs="Calibri"/>
          <w:sz w:val="22"/>
          <w:szCs w:val="22"/>
        </w:rPr>
        <w:t xml:space="preserve"> </w:t>
      </w:r>
      <w:r w:rsidRPr="007D76B8">
        <w:rPr>
          <w:rFonts w:ascii="Calibri" w:eastAsia="Calibri" w:hAnsi="Calibri" w:cs="Calibri"/>
          <w:sz w:val="22"/>
          <w:szCs w:val="22"/>
        </w:rPr>
        <w:t>the international law that has been transposed into national law (</w:t>
      </w:r>
      <w:r w:rsidR="007D76B8">
        <w:rPr>
          <w:rFonts w:ascii="Calibri" w:eastAsia="Calibri" w:hAnsi="Calibri" w:cs="Calibri"/>
          <w:sz w:val="22"/>
          <w:szCs w:val="22"/>
        </w:rPr>
        <w:t>such as the</w:t>
      </w:r>
      <w:r w:rsidRPr="007D76B8">
        <w:rPr>
          <w:rFonts w:ascii="Calibri" w:eastAsia="Calibri" w:hAnsi="Calibri" w:cs="Calibri"/>
          <w:sz w:val="22"/>
          <w:szCs w:val="22"/>
        </w:rPr>
        <w:t xml:space="preserve"> Return Directive).</w:t>
      </w:r>
      <w:r w:rsidRPr="007D76B8">
        <w:rPr>
          <w:rFonts w:ascii="Calibri" w:eastAsia="Calibri" w:hAnsi="Calibri" w:cs="Calibri"/>
          <w:sz w:val="22"/>
          <w:szCs w:val="22"/>
          <w:vertAlign w:val="superscript"/>
        </w:rPr>
        <w:footnoteReference w:id="52"/>
      </w:r>
      <w:r w:rsidRPr="007D76B8">
        <w:rPr>
          <w:rFonts w:ascii="Calibri" w:eastAsia="Calibri" w:hAnsi="Calibri" w:cs="Calibri"/>
          <w:sz w:val="22"/>
          <w:szCs w:val="22"/>
        </w:rPr>
        <w:t xml:space="preserve"> Furthermore, the judge examines whether there are factual errors such as a manifest error of assessment by the </w:t>
      </w:r>
      <w:r w:rsidR="005C3FF9" w:rsidRPr="007D76B8">
        <w:rPr>
          <w:rFonts w:ascii="Calibri" w:eastAsia="Calibri" w:hAnsi="Calibri" w:cs="Calibri"/>
          <w:sz w:val="22"/>
          <w:szCs w:val="22"/>
        </w:rPr>
        <w:t>administrative authority</w:t>
      </w:r>
      <w:r w:rsidRPr="007D76B8">
        <w:rPr>
          <w:rFonts w:ascii="Calibri" w:eastAsia="Calibri" w:hAnsi="Calibri" w:cs="Calibri"/>
          <w:sz w:val="22"/>
          <w:szCs w:val="22"/>
        </w:rPr>
        <w:t xml:space="preserve">. </w:t>
      </w:r>
    </w:p>
    <w:p w14:paraId="2B63CABD" w14:textId="195D5DF0" w:rsidR="003E18A3" w:rsidRPr="00047AC9" w:rsidRDefault="005C3FF9" w:rsidP="007F72D6">
      <w:pPr>
        <w:spacing w:line="276" w:lineRule="auto"/>
        <w:ind w:firstLine="720"/>
        <w:jc w:val="both"/>
        <w:rPr>
          <w:rFonts w:asciiTheme="minorHAnsi" w:eastAsia="Calibri" w:hAnsiTheme="minorHAnsi" w:cstheme="minorHAnsi"/>
          <w:sz w:val="22"/>
          <w:szCs w:val="22"/>
        </w:rPr>
      </w:pPr>
      <w:r w:rsidRPr="00047AC9">
        <w:rPr>
          <w:rFonts w:asciiTheme="minorHAnsi" w:eastAsia="Calibri" w:hAnsiTheme="minorHAnsi" w:cstheme="minorHAnsi"/>
          <w:sz w:val="22"/>
          <w:szCs w:val="22"/>
        </w:rPr>
        <w:t xml:space="preserve">The Court of Cassation </w:t>
      </w:r>
      <w:r w:rsidR="00E4436E" w:rsidRPr="00047AC9">
        <w:rPr>
          <w:rFonts w:asciiTheme="minorHAnsi" w:eastAsia="Calibri" w:hAnsiTheme="minorHAnsi" w:cstheme="minorHAnsi"/>
          <w:sz w:val="22"/>
          <w:szCs w:val="22"/>
        </w:rPr>
        <w:t xml:space="preserve">has </w:t>
      </w:r>
      <w:r w:rsidRPr="00047AC9">
        <w:rPr>
          <w:rFonts w:asciiTheme="minorHAnsi" w:eastAsia="Calibri" w:hAnsiTheme="minorHAnsi" w:cstheme="minorHAnsi"/>
          <w:sz w:val="22"/>
          <w:szCs w:val="22"/>
        </w:rPr>
        <w:t xml:space="preserve">stated that, if the detention measure does not contain elements pertaining to the risk of absconding, evasion or obstruction of the repatriation procedure, </w:t>
      </w:r>
      <w:r w:rsidR="00E4436E" w:rsidRPr="00047AC9">
        <w:rPr>
          <w:rFonts w:asciiTheme="minorHAnsi" w:eastAsia="Calibri" w:hAnsiTheme="minorHAnsi" w:cstheme="minorHAnsi"/>
          <w:sz w:val="22"/>
          <w:szCs w:val="22"/>
        </w:rPr>
        <w:t>it</w:t>
      </w:r>
      <w:r w:rsidRPr="00047AC9">
        <w:rPr>
          <w:rFonts w:asciiTheme="minorHAnsi" w:eastAsia="Calibri" w:hAnsiTheme="minorHAnsi" w:cstheme="minorHAnsi"/>
          <w:sz w:val="22"/>
          <w:szCs w:val="22"/>
        </w:rPr>
        <w:t xml:space="preserve"> shall be declared unlawful.</w:t>
      </w:r>
      <w:r w:rsidRPr="00047AC9">
        <w:rPr>
          <w:rFonts w:asciiTheme="minorHAnsi" w:eastAsia="Calibri" w:hAnsiTheme="minorHAnsi" w:cstheme="minorHAnsi"/>
          <w:sz w:val="22"/>
          <w:szCs w:val="22"/>
          <w:vertAlign w:val="superscript"/>
        </w:rPr>
        <w:footnoteReference w:id="53"/>
      </w:r>
      <w:r w:rsidRPr="00047AC9">
        <w:rPr>
          <w:rFonts w:asciiTheme="minorHAnsi" w:eastAsia="Calibri" w:hAnsiTheme="minorHAnsi" w:cstheme="minorHAnsi"/>
          <w:sz w:val="22"/>
          <w:szCs w:val="22"/>
        </w:rPr>
        <w:t xml:space="preserve"> In a similar case, the Court of Cassation decided that the risk of absconding must be real and actual and established on the basis of objective and serious elements.</w:t>
      </w:r>
      <w:r w:rsidRPr="00047AC9">
        <w:rPr>
          <w:rFonts w:asciiTheme="minorHAnsi" w:eastAsia="Calibri" w:hAnsiTheme="minorHAnsi" w:cstheme="minorHAnsi"/>
          <w:sz w:val="22"/>
          <w:szCs w:val="22"/>
          <w:vertAlign w:val="superscript"/>
        </w:rPr>
        <w:footnoteReference w:id="54"/>
      </w:r>
      <w:r w:rsidRPr="00047AC9">
        <w:rPr>
          <w:rFonts w:asciiTheme="minorHAnsi" w:eastAsia="Calibri" w:hAnsiTheme="minorHAnsi" w:cstheme="minorHAnsi"/>
          <w:sz w:val="22"/>
          <w:szCs w:val="22"/>
        </w:rPr>
        <w:t xml:space="preserve"> The </w:t>
      </w:r>
      <w:r w:rsidR="00AA2D41" w:rsidRPr="00047AC9">
        <w:rPr>
          <w:rFonts w:asciiTheme="minorHAnsi" w:eastAsia="Calibri" w:hAnsiTheme="minorHAnsi" w:cstheme="minorHAnsi"/>
          <w:sz w:val="22"/>
          <w:szCs w:val="22"/>
        </w:rPr>
        <w:t xml:space="preserve">Court of Cassation </w:t>
      </w:r>
      <w:r w:rsidR="00E4436E" w:rsidRPr="00047AC9">
        <w:rPr>
          <w:rFonts w:asciiTheme="minorHAnsi" w:eastAsia="Calibri" w:hAnsiTheme="minorHAnsi" w:cstheme="minorHAnsi"/>
          <w:sz w:val="22"/>
          <w:szCs w:val="22"/>
        </w:rPr>
        <w:t xml:space="preserve">also </w:t>
      </w:r>
      <w:r w:rsidRPr="00047AC9">
        <w:rPr>
          <w:rFonts w:asciiTheme="minorHAnsi" w:eastAsia="Calibri" w:hAnsiTheme="minorHAnsi" w:cstheme="minorHAnsi"/>
          <w:sz w:val="22"/>
          <w:szCs w:val="22"/>
        </w:rPr>
        <w:t>re</w:t>
      </w:r>
      <w:r w:rsidR="00E4436E" w:rsidRPr="00047AC9">
        <w:rPr>
          <w:rFonts w:asciiTheme="minorHAnsi" w:eastAsia="Calibri" w:hAnsiTheme="minorHAnsi" w:cstheme="minorHAnsi"/>
          <w:sz w:val="22"/>
          <w:szCs w:val="22"/>
        </w:rPr>
        <w:t xml:space="preserve">affirmed </w:t>
      </w:r>
      <w:r w:rsidRPr="00047AC9">
        <w:rPr>
          <w:rFonts w:asciiTheme="minorHAnsi" w:eastAsia="Calibri" w:hAnsiTheme="minorHAnsi" w:cstheme="minorHAnsi"/>
          <w:sz w:val="22"/>
          <w:szCs w:val="22"/>
        </w:rPr>
        <w:t>that</w:t>
      </w:r>
      <w:r w:rsidR="00AA2D41" w:rsidRPr="00047AC9">
        <w:rPr>
          <w:rFonts w:asciiTheme="minorHAnsi" w:eastAsia="Calibri" w:hAnsiTheme="minorHAnsi" w:cstheme="minorHAnsi"/>
          <w:sz w:val="22"/>
          <w:szCs w:val="22"/>
        </w:rPr>
        <w:t xml:space="preserve"> the courts have to examine whether the detention order has been reasoned and whet</w:t>
      </w:r>
      <w:r w:rsidR="00047AC9" w:rsidRPr="00047AC9">
        <w:rPr>
          <w:rFonts w:asciiTheme="minorHAnsi" w:eastAsia="Calibri" w:hAnsiTheme="minorHAnsi" w:cstheme="minorHAnsi"/>
          <w:sz w:val="22"/>
          <w:szCs w:val="22"/>
        </w:rPr>
        <w:t>her it is in conformity with international and national law. They also need to check whether the detention order is not based on a manifest error of judgement or fact</w:t>
      </w:r>
      <w:r w:rsidRPr="00047AC9">
        <w:rPr>
          <w:rFonts w:asciiTheme="minorHAnsi" w:eastAsia="Calibri" w:hAnsiTheme="minorHAnsi" w:cstheme="minorHAnsi"/>
          <w:sz w:val="22"/>
          <w:szCs w:val="22"/>
        </w:rPr>
        <w:t>.</w:t>
      </w:r>
      <w:r w:rsidRPr="00047AC9">
        <w:rPr>
          <w:rFonts w:asciiTheme="minorHAnsi" w:eastAsia="Calibri" w:hAnsiTheme="minorHAnsi" w:cstheme="minorHAnsi"/>
          <w:sz w:val="22"/>
          <w:szCs w:val="22"/>
          <w:vertAlign w:val="superscript"/>
        </w:rPr>
        <w:footnoteReference w:id="55"/>
      </w:r>
      <w:r w:rsidRPr="00047AC9">
        <w:rPr>
          <w:rFonts w:asciiTheme="minorHAnsi" w:eastAsia="Calibri" w:hAnsiTheme="minorHAnsi" w:cstheme="minorHAnsi"/>
          <w:sz w:val="22"/>
          <w:szCs w:val="22"/>
        </w:rPr>
        <w:t xml:space="preserve"> </w:t>
      </w:r>
      <w:r w:rsidR="007D76B8" w:rsidRPr="00047AC9">
        <w:rPr>
          <w:rFonts w:asciiTheme="minorHAnsi" w:eastAsia="Calibri" w:hAnsiTheme="minorHAnsi" w:cstheme="minorHAnsi"/>
          <w:sz w:val="22"/>
          <w:szCs w:val="22"/>
        </w:rPr>
        <w:t xml:space="preserve">In all these cases the TCN had submitted grounds of appeal regarding this ground. </w:t>
      </w:r>
    </w:p>
    <w:p w14:paraId="28610053" w14:textId="446B724F" w:rsidR="005C3FF9" w:rsidRPr="003E18A3" w:rsidRDefault="003E18A3" w:rsidP="007F72D6">
      <w:pPr>
        <w:spacing w:line="276" w:lineRule="auto"/>
        <w:ind w:firstLine="720"/>
        <w:jc w:val="both"/>
        <w:rPr>
          <w:rFonts w:ascii="Calibri" w:eastAsia="Calibri" w:hAnsi="Calibri" w:cs="Calibri"/>
          <w:sz w:val="22"/>
          <w:szCs w:val="22"/>
        </w:rPr>
      </w:pPr>
      <w:r w:rsidRPr="00047AC9">
        <w:rPr>
          <w:rFonts w:asciiTheme="minorHAnsi" w:eastAsia="Calibri" w:hAnsiTheme="minorHAnsi" w:cstheme="minorHAnsi"/>
          <w:sz w:val="22"/>
          <w:szCs w:val="22"/>
        </w:rPr>
        <w:t xml:space="preserve">The Belgian court only seems to review limited issues </w:t>
      </w:r>
      <w:r w:rsidRPr="00047AC9">
        <w:rPr>
          <w:rFonts w:asciiTheme="minorHAnsi" w:eastAsia="Calibri" w:hAnsiTheme="minorHAnsi" w:cstheme="minorHAnsi"/>
          <w:i/>
          <w:iCs/>
          <w:sz w:val="22"/>
          <w:szCs w:val="22"/>
        </w:rPr>
        <w:t>ex officio</w:t>
      </w:r>
      <w:r w:rsidRPr="00047AC9">
        <w:rPr>
          <w:rFonts w:asciiTheme="minorHAnsi" w:eastAsia="Calibri" w:hAnsiTheme="minorHAnsi" w:cstheme="minorHAnsi"/>
          <w:sz w:val="22"/>
          <w:szCs w:val="22"/>
        </w:rPr>
        <w:t>. A ruling of</w:t>
      </w:r>
      <w:r>
        <w:rPr>
          <w:rFonts w:ascii="Calibri" w:eastAsia="Calibri" w:hAnsi="Calibri" w:cs="Calibri"/>
          <w:sz w:val="22"/>
          <w:szCs w:val="22"/>
        </w:rPr>
        <w:t xml:space="preserve"> 2013 mentions under the </w:t>
      </w:r>
      <w:r w:rsidRPr="003E18A3">
        <w:rPr>
          <w:rFonts w:ascii="Calibri" w:eastAsia="Calibri" w:hAnsi="Calibri" w:cs="Calibri"/>
          <w:i/>
          <w:iCs/>
          <w:sz w:val="22"/>
          <w:szCs w:val="22"/>
        </w:rPr>
        <w:t>sub heading</w:t>
      </w:r>
      <w:r>
        <w:rPr>
          <w:rFonts w:ascii="Calibri" w:eastAsia="Calibri" w:hAnsi="Calibri" w:cs="Calibri"/>
          <w:i/>
          <w:iCs/>
          <w:sz w:val="22"/>
          <w:szCs w:val="22"/>
        </w:rPr>
        <w:t xml:space="preserve"> </w:t>
      </w:r>
      <w:r>
        <w:rPr>
          <w:rFonts w:ascii="Calibri" w:eastAsia="Calibri" w:hAnsi="Calibri" w:cs="Calibri"/>
          <w:sz w:val="22"/>
          <w:szCs w:val="22"/>
        </w:rPr>
        <w:t>‘ex officio examination of the decision’ that the substantial or on penalty of nullity prescribed formal requirement</w:t>
      </w:r>
      <w:r w:rsidR="000F0967">
        <w:rPr>
          <w:rFonts w:ascii="Calibri" w:eastAsia="Calibri" w:hAnsi="Calibri" w:cs="Calibri"/>
          <w:sz w:val="22"/>
          <w:szCs w:val="22"/>
        </w:rPr>
        <w:t>s</w:t>
      </w:r>
      <w:r>
        <w:rPr>
          <w:rFonts w:ascii="Calibri" w:eastAsia="Calibri" w:hAnsi="Calibri" w:cs="Calibri"/>
          <w:sz w:val="22"/>
          <w:szCs w:val="22"/>
        </w:rPr>
        <w:t xml:space="preserve"> (</w:t>
      </w:r>
      <w:r w:rsidRPr="003E18A3">
        <w:rPr>
          <w:rFonts w:ascii="Calibri" w:eastAsia="Calibri" w:hAnsi="Calibri" w:cs="Calibri"/>
          <w:i/>
          <w:iCs/>
          <w:sz w:val="22"/>
          <w:szCs w:val="22"/>
        </w:rPr>
        <w:t>rechtsvormen</w:t>
      </w:r>
      <w:r>
        <w:rPr>
          <w:rFonts w:ascii="Calibri" w:eastAsia="Calibri" w:hAnsi="Calibri" w:cs="Calibri"/>
          <w:sz w:val="22"/>
          <w:szCs w:val="22"/>
        </w:rPr>
        <w:t>) have been observed and the decision has been taken in accordance with the law.</w:t>
      </w:r>
      <w:r>
        <w:rPr>
          <w:rStyle w:val="FootnoteReference"/>
          <w:rFonts w:ascii="Calibri" w:eastAsia="Calibri" w:hAnsi="Calibri" w:cs="Calibri"/>
          <w:sz w:val="22"/>
          <w:szCs w:val="22"/>
        </w:rPr>
        <w:footnoteReference w:id="56"/>
      </w:r>
      <w:r>
        <w:rPr>
          <w:rFonts w:ascii="Calibri" w:eastAsia="Calibri" w:hAnsi="Calibri" w:cs="Calibri"/>
          <w:sz w:val="22"/>
          <w:szCs w:val="22"/>
        </w:rPr>
        <w:t xml:space="preserve"> Apparently those are the requirements that the court </w:t>
      </w:r>
      <w:r w:rsidR="000F0967">
        <w:rPr>
          <w:rFonts w:ascii="Calibri" w:eastAsia="Calibri" w:hAnsi="Calibri" w:cs="Calibri"/>
          <w:sz w:val="22"/>
          <w:szCs w:val="22"/>
        </w:rPr>
        <w:t>may</w:t>
      </w:r>
      <w:r>
        <w:rPr>
          <w:rFonts w:ascii="Calibri" w:eastAsia="Calibri" w:hAnsi="Calibri" w:cs="Calibri"/>
          <w:sz w:val="22"/>
          <w:szCs w:val="22"/>
        </w:rPr>
        <w:t xml:space="preserve"> or m</w:t>
      </w:r>
      <w:r w:rsidR="000F0967">
        <w:rPr>
          <w:rFonts w:ascii="Calibri" w:eastAsia="Calibri" w:hAnsi="Calibri" w:cs="Calibri"/>
          <w:sz w:val="22"/>
          <w:szCs w:val="22"/>
        </w:rPr>
        <w:t>ust</w:t>
      </w:r>
      <w:r>
        <w:rPr>
          <w:rFonts w:ascii="Calibri" w:eastAsia="Calibri" w:hAnsi="Calibri" w:cs="Calibri"/>
          <w:sz w:val="22"/>
          <w:szCs w:val="22"/>
        </w:rPr>
        <w:t xml:space="preserve"> examine </w:t>
      </w:r>
      <w:r w:rsidRPr="003E18A3">
        <w:rPr>
          <w:rFonts w:ascii="Calibri" w:eastAsia="Calibri" w:hAnsi="Calibri" w:cs="Calibri"/>
          <w:i/>
          <w:iCs/>
          <w:sz w:val="22"/>
          <w:szCs w:val="22"/>
        </w:rPr>
        <w:t>ex officio</w:t>
      </w:r>
      <w:r>
        <w:rPr>
          <w:rFonts w:ascii="Calibri" w:eastAsia="Calibri" w:hAnsi="Calibri" w:cs="Calibri"/>
          <w:sz w:val="22"/>
          <w:szCs w:val="22"/>
        </w:rPr>
        <w:t xml:space="preserve">. </w:t>
      </w:r>
    </w:p>
    <w:p w14:paraId="091D6F22" w14:textId="757B2EFE" w:rsidR="00001706" w:rsidRPr="001D15EE" w:rsidRDefault="00001706" w:rsidP="007F72D6">
      <w:pPr>
        <w:spacing w:line="276" w:lineRule="auto"/>
        <w:rPr>
          <w:rFonts w:asciiTheme="minorHAnsi" w:hAnsiTheme="minorHAnsi" w:cstheme="minorHAnsi"/>
        </w:rPr>
      </w:pPr>
    </w:p>
    <w:p w14:paraId="06BF9AF4" w14:textId="77777777" w:rsidR="00050790" w:rsidRDefault="00050790">
      <w:pPr>
        <w:rPr>
          <w:rFonts w:asciiTheme="minorHAnsi" w:eastAsiaTheme="majorEastAsia" w:hAnsiTheme="minorHAnsi" w:cstheme="minorHAnsi"/>
          <w:b/>
          <w:bCs/>
          <w:color w:val="000000" w:themeColor="text1"/>
          <w:sz w:val="22"/>
          <w:szCs w:val="22"/>
        </w:rPr>
      </w:pPr>
      <w:bookmarkStart w:id="22" w:name="_Toc66828030"/>
      <w:r>
        <w:rPr>
          <w:rFonts w:asciiTheme="minorHAnsi" w:hAnsiTheme="minorHAnsi" w:cstheme="minorHAnsi"/>
          <w:b/>
          <w:bCs/>
          <w:sz w:val="22"/>
          <w:szCs w:val="22"/>
        </w:rPr>
        <w:br w:type="page"/>
      </w:r>
    </w:p>
    <w:p w14:paraId="11C6BACA" w14:textId="579EEB8E" w:rsidR="00001706" w:rsidRPr="007F72D6" w:rsidRDefault="00001706" w:rsidP="007F72D6">
      <w:pPr>
        <w:pStyle w:val="Heading3"/>
        <w:spacing w:line="276" w:lineRule="auto"/>
        <w:rPr>
          <w:rFonts w:asciiTheme="minorHAnsi" w:hAnsiTheme="minorHAnsi" w:cstheme="minorHAnsi"/>
          <w:b/>
          <w:bCs/>
          <w:sz w:val="22"/>
          <w:szCs w:val="22"/>
        </w:rPr>
      </w:pPr>
      <w:r w:rsidRPr="007F72D6">
        <w:rPr>
          <w:rFonts w:asciiTheme="minorHAnsi" w:hAnsiTheme="minorHAnsi" w:cstheme="minorHAnsi"/>
          <w:b/>
          <w:bCs/>
          <w:sz w:val="22"/>
          <w:szCs w:val="22"/>
        </w:rPr>
        <w:lastRenderedPageBreak/>
        <w:t>3.1.2 France</w:t>
      </w:r>
      <w:bookmarkEnd w:id="22"/>
    </w:p>
    <w:p w14:paraId="2A850E62" w14:textId="36342266" w:rsidR="00001706" w:rsidRPr="001D15EE" w:rsidRDefault="00001706" w:rsidP="007F72D6">
      <w:pPr>
        <w:spacing w:line="276" w:lineRule="auto"/>
        <w:rPr>
          <w:rFonts w:asciiTheme="minorHAnsi" w:hAnsiTheme="minorHAnsi" w:cstheme="minorHAnsi"/>
        </w:rPr>
      </w:pPr>
    </w:p>
    <w:p w14:paraId="091875DB" w14:textId="6CF2976A" w:rsidR="00001706" w:rsidRPr="001D15EE" w:rsidRDefault="00097D4F" w:rsidP="007F72D6">
      <w:pPr>
        <w:spacing w:line="276" w:lineRule="auto"/>
        <w:jc w:val="both"/>
        <w:rPr>
          <w:rFonts w:asciiTheme="minorHAnsi" w:hAnsiTheme="minorHAnsi" w:cstheme="minorHAnsi"/>
          <w:sz w:val="22"/>
          <w:szCs w:val="22"/>
        </w:rPr>
      </w:pPr>
      <w:r w:rsidRPr="001D15EE">
        <w:rPr>
          <w:rFonts w:asciiTheme="minorHAnsi" w:eastAsia="Calibri" w:hAnsiTheme="minorHAnsi" w:cstheme="minorHAnsi"/>
          <w:sz w:val="22"/>
          <w:szCs w:val="22"/>
        </w:rPr>
        <w:t>The French Constitution provides that no one may be detained arbitrarily. A judicial authority, guardian of personal freedom, ensures the respect of this principle within the conditions provided by law.</w:t>
      </w:r>
      <w:r w:rsidRPr="001D15EE">
        <w:rPr>
          <w:rFonts w:asciiTheme="minorHAnsi" w:eastAsia="Calibri" w:hAnsiTheme="minorHAnsi" w:cstheme="minorHAnsi"/>
          <w:sz w:val="22"/>
          <w:szCs w:val="22"/>
          <w:vertAlign w:val="superscript"/>
        </w:rPr>
        <w:footnoteReference w:id="57"/>
      </w:r>
      <w:r w:rsidRPr="001D15EE">
        <w:rPr>
          <w:rFonts w:asciiTheme="minorHAnsi" w:eastAsia="Calibri" w:hAnsiTheme="minorHAnsi" w:cstheme="minorHAnsi"/>
          <w:sz w:val="22"/>
          <w:szCs w:val="22"/>
        </w:rPr>
        <w:t xml:space="preserve"> Since 2016, the Judge of Freedoms and Detention (henceforth: JLD)</w:t>
      </w:r>
      <w:r w:rsidR="000F0967" w:rsidRPr="000F0967">
        <w:rPr>
          <w:rStyle w:val="FootnoteReference"/>
          <w:rFonts w:asciiTheme="minorHAnsi" w:eastAsia="Calibri" w:hAnsiTheme="minorHAnsi" w:cstheme="minorHAnsi"/>
          <w:sz w:val="22"/>
          <w:szCs w:val="22"/>
        </w:rPr>
        <w:t xml:space="preserve"> </w:t>
      </w:r>
      <w:r w:rsidR="000F0967" w:rsidRPr="001D15EE">
        <w:rPr>
          <w:rStyle w:val="FootnoteReference"/>
          <w:rFonts w:asciiTheme="minorHAnsi" w:eastAsia="Calibri" w:hAnsiTheme="minorHAnsi" w:cstheme="minorHAnsi"/>
          <w:sz w:val="22"/>
          <w:szCs w:val="22"/>
        </w:rPr>
        <w:footnoteReference w:id="58"/>
      </w:r>
      <w:r w:rsidRPr="001D15EE">
        <w:rPr>
          <w:rFonts w:asciiTheme="minorHAnsi" w:eastAsia="Calibri" w:hAnsiTheme="minorHAnsi" w:cstheme="minorHAnsi"/>
          <w:sz w:val="22"/>
          <w:szCs w:val="22"/>
        </w:rPr>
        <w:t xml:space="preserve"> is responsible for deciding on detention measures.</w:t>
      </w:r>
      <w:r w:rsidRPr="001D15EE">
        <w:rPr>
          <w:rFonts w:asciiTheme="minorHAnsi" w:eastAsia="Calibri" w:hAnsiTheme="minorHAnsi" w:cstheme="minorHAnsi"/>
          <w:sz w:val="22"/>
          <w:szCs w:val="22"/>
          <w:vertAlign w:val="superscript"/>
        </w:rPr>
        <w:footnoteReference w:id="59"/>
      </w:r>
      <w:r w:rsidRPr="001D15EE">
        <w:rPr>
          <w:rFonts w:asciiTheme="minorHAnsi" w:eastAsia="Calibri" w:hAnsiTheme="minorHAnsi" w:cstheme="minorHAnsi"/>
          <w:sz w:val="22"/>
          <w:szCs w:val="22"/>
        </w:rPr>
        <w:t xml:space="preserve"> The administrative </w:t>
      </w:r>
      <w:r w:rsidR="00AE7966" w:rsidRPr="001D15EE">
        <w:rPr>
          <w:rFonts w:asciiTheme="minorHAnsi" w:eastAsia="Calibri" w:hAnsiTheme="minorHAnsi" w:cstheme="minorHAnsi"/>
          <w:sz w:val="22"/>
          <w:szCs w:val="22"/>
        </w:rPr>
        <w:t>tribunal</w:t>
      </w:r>
      <w:r w:rsidR="00AE7966" w:rsidRPr="001D15EE">
        <w:rPr>
          <w:rStyle w:val="FootnoteReference"/>
          <w:rFonts w:asciiTheme="minorHAnsi" w:eastAsia="Calibri" w:hAnsiTheme="minorHAnsi" w:cstheme="minorHAnsi"/>
          <w:sz w:val="22"/>
          <w:szCs w:val="22"/>
        </w:rPr>
        <w:footnoteReference w:id="60"/>
      </w:r>
      <w:r w:rsidRPr="001D15EE">
        <w:rPr>
          <w:rFonts w:asciiTheme="minorHAnsi" w:eastAsia="Calibri" w:hAnsiTheme="minorHAnsi" w:cstheme="minorHAnsi"/>
          <w:sz w:val="22"/>
          <w:szCs w:val="22"/>
        </w:rPr>
        <w:t xml:space="preserve"> is responsible for appeals against expulsion measures.</w:t>
      </w:r>
      <w:r w:rsidR="00AE7966" w:rsidRPr="001D15EE">
        <w:rPr>
          <w:rStyle w:val="FootnoteReference"/>
          <w:rFonts w:asciiTheme="minorHAnsi" w:eastAsia="Calibri" w:hAnsiTheme="minorHAnsi" w:cstheme="minorHAnsi"/>
          <w:sz w:val="22"/>
          <w:szCs w:val="22"/>
        </w:rPr>
        <w:footnoteReference w:id="61"/>
      </w:r>
      <w:r w:rsidR="00801EB5" w:rsidRPr="001D15EE">
        <w:rPr>
          <w:rFonts w:asciiTheme="minorHAnsi" w:eastAsia="Calibri" w:hAnsiTheme="minorHAnsi" w:cstheme="minorHAnsi"/>
          <w:sz w:val="22"/>
          <w:szCs w:val="22"/>
        </w:rPr>
        <w:t xml:space="preserve"> </w:t>
      </w:r>
    </w:p>
    <w:p w14:paraId="79BE1741" w14:textId="1A930E88" w:rsidR="00801EB5" w:rsidRPr="001D15EE" w:rsidRDefault="00801EB5" w:rsidP="000F0967">
      <w:pPr>
        <w:spacing w:line="276" w:lineRule="auto"/>
        <w:ind w:firstLine="720"/>
        <w:jc w:val="both"/>
        <w:rPr>
          <w:rFonts w:asciiTheme="minorHAnsi" w:hAnsiTheme="minorHAnsi" w:cstheme="minorHAnsi"/>
          <w:sz w:val="22"/>
          <w:szCs w:val="22"/>
        </w:rPr>
      </w:pPr>
      <w:r w:rsidRPr="001D15EE">
        <w:rPr>
          <w:rFonts w:asciiTheme="minorHAnsi" w:hAnsiTheme="minorHAnsi" w:cstheme="minorHAnsi"/>
          <w:sz w:val="22"/>
          <w:szCs w:val="22"/>
        </w:rPr>
        <w:t xml:space="preserve">The JLD can review the lawfulness of the acts of the authorities preceding the detention measure as well as the lawfulness of the detention measure itself. </w:t>
      </w:r>
      <w:r w:rsidRPr="001D15EE">
        <w:rPr>
          <w:rFonts w:asciiTheme="minorHAnsi" w:eastAsia="Calibri" w:hAnsiTheme="minorHAnsi" w:cstheme="minorHAnsi"/>
          <w:sz w:val="22"/>
          <w:szCs w:val="22"/>
        </w:rPr>
        <w:t xml:space="preserve">It is competent to review the conditions of the arrest of the alien, the conditions and the </w:t>
      </w:r>
      <w:r w:rsidR="000F0967">
        <w:rPr>
          <w:rFonts w:asciiTheme="minorHAnsi" w:eastAsia="Calibri" w:hAnsiTheme="minorHAnsi" w:cstheme="minorHAnsi"/>
          <w:sz w:val="22"/>
          <w:szCs w:val="22"/>
        </w:rPr>
        <w:t>execution</w:t>
      </w:r>
      <w:r w:rsidRPr="001D15EE">
        <w:rPr>
          <w:rFonts w:asciiTheme="minorHAnsi" w:eastAsia="Calibri" w:hAnsiTheme="minorHAnsi" w:cstheme="minorHAnsi"/>
          <w:sz w:val="22"/>
          <w:szCs w:val="22"/>
        </w:rPr>
        <w:t xml:space="preserve"> of the administrative detention (</w:t>
      </w:r>
      <w:r w:rsidR="000F0967">
        <w:rPr>
          <w:rFonts w:asciiTheme="minorHAnsi" w:eastAsia="Calibri" w:hAnsiTheme="minorHAnsi" w:cstheme="minorHAnsi"/>
          <w:sz w:val="22"/>
          <w:szCs w:val="22"/>
        </w:rPr>
        <w:t xml:space="preserve">including </w:t>
      </w:r>
      <w:r w:rsidRPr="001D15EE">
        <w:rPr>
          <w:rFonts w:asciiTheme="minorHAnsi" w:eastAsia="Calibri" w:hAnsiTheme="minorHAnsi" w:cstheme="minorHAnsi"/>
          <w:sz w:val="22"/>
          <w:szCs w:val="22"/>
        </w:rPr>
        <w:t xml:space="preserve">the notifications of rights, </w:t>
      </w:r>
      <w:r w:rsidR="000F0967">
        <w:rPr>
          <w:rFonts w:asciiTheme="minorHAnsi" w:eastAsia="Calibri" w:hAnsiTheme="minorHAnsi" w:cstheme="minorHAnsi"/>
          <w:sz w:val="22"/>
          <w:szCs w:val="22"/>
        </w:rPr>
        <w:t xml:space="preserve">and </w:t>
      </w:r>
      <w:r w:rsidRPr="001D15EE">
        <w:rPr>
          <w:rFonts w:asciiTheme="minorHAnsi" w:eastAsia="Calibri" w:hAnsiTheme="minorHAnsi" w:cstheme="minorHAnsi"/>
          <w:sz w:val="22"/>
          <w:szCs w:val="22"/>
        </w:rPr>
        <w:t>the diligence of the administration with regard to the execution of the removal) and the l</w:t>
      </w:r>
      <w:r w:rsidR="00A30414" w:rsidRPr="001D15EE">
        <w:rPr>
          <w:rFonts w:asciiTheme="minorHAnsi" w:eastAsia="Calibri" w:hAnsiTheme="minorHAnsi" w:cstheme="minorHAnsi"/>
          <w:sz w:val="22"/>
          <w:szCs w:val="22"/>
        </w:rPr>
        <w:t>awfulness</w:t>
      </w:r>
      <w:r w:rsidRPr="001D15EE">
        <w:rPr>
          <w:rFonts w:asciiTheme="minorHAnsi" w:eastAsia="Calibri" w:hAnsiTheme="minorHAnsi" w:cstheme="minorHAnsi"/>
          <w:sz w:val="22"/>
          <w:szCs w:val="22"/>
        </w:rPr>
        <w:t xml:space="preserve"> of the initial detention measure</w:t>
      </w:r>
      <w:r w:rsidR="00C47239" w:rsidRPr="001D15EE">
        <w:rPr>
          <w:rFonts w:asciiTheme="minorHAnsi" w:eastAsia="Calibri" w:hAnsiTheme="minorHAnsi" w:cstheme="minorHAnsi"/>
          <w:sz w:val="22"/>
          <w:szCs w:val="22"/>
        </w:rPr>
        <w:t>.</w:t>
      </w:r>
      <w:r w:rsidRPr="001D15EE">
        <w:rPr>
          <w:rFonts w:asciiTheme="minorHAnsi" w:eastAsia="Calibri" w:hAnsiTheme="minorHAnsi" w:cstheme="minorHAnsi"/>
          <w:sz w:val="22"/>
          <w:szCs w:val="22"/>
          <w:vertAlign w:val="superscript"/>
        </w:rPr>
        <w:footnoteReference w:id="62"/>
      </w:r>
      <w:r w:rsidRPr="001D15EE">
        <w:rPr>
          <w:rFonts w:asciiTheme="minorHAnsi" w:hAnsiTheme="minorHAnsi" w:cstheme="minorHAnsi"/>
          <w:sz w:val="22"/>
          <w:szCs w:val="22"/>
        </w:rPr>
        <w:t xml:space="preserve"> According to the French Court of Cassation, </w:t>
      </w:r>
      <w:r w:rsidRPr="001D15EE">
        <w:rPr>
          <w:rFonts w:asciiTheme="minorHAnsi" w:eastAsia="Calibri" w:hAnsiTheme="minorHAnsi" w:cstheme="minorHAnsi"/>
          <w:sz w:val="22"/>
          <w:szCs w:val="22"/>
        </w:rPr>
        <w:t xml:space="preserve">the JLD must, at any moment, put an end to the detention when the circumstances of law or fact justify it, notably looking at the conformity of the detention measure with </w:t>
      </w:r>
      <w:r w:rsidR="000F0967">
        <w:rPr>
          <w:rFonts w:asciiTheme="minorHAnsi" w:eastAsia="Calibri" w:hAnsiTheme="minorHAnsi" w:cstheme="minorHAnsi"/>
          <w:sz w:val="22"/>
          <w:szCs w:val="22"/>
        </w:rPr>
        <w:t>E</w:t>
      </w:r>
      <w:r w:rsidRPr="001D15EE">
        <w:rPr>
          <w:rFonts w:asciiTheme="minorHAnsi" w:eastAsia="Calibri" w:hAnsiTheme="minorHAnsi" w:cstheme="minorHAnsi"/>
          <w:sz w:val="22"/>
          <w:szCs w:val="22"/>
        </w:rPr>
        <w:t>U law.</w:t>
      </w:r>
      <w:r w:rsidRPr="001D15EE">
        <w:rPr>
          <w:rFonts w:asciiTheme="minorHAnsi" w:eastAsia="Calibri" w:hAnsiTheme="minorHAnsi" w:cstheme="minorHAnsi"/>
          <w:sz w:val="22"/>
          <w:szCs w:val="22"/>
          <w:vertAlign w:val="superscript"/>
        </w:rPr>
        <w:footnoteReference w:id="63"/>
      </w:r>
      <w:r w:rsidR="00341110">
        <w:rPr>
          <w:rFonts w:asciiTheme="minorHAnsi" w:eastAsia="Calibri" w:hAnsiTheme="minorHAnsi" w:cstheme="minorHAnsi"/>
          <w:sz w:val="22"/>
          <w:szCs w:val="22"/>
        </w:rPr>
        <w:t xml:space="preserve"> </w:t>
      </w:r>
    </w:p>
    <w:p w14:paraId="2EE03FDC" w14:textId="429C504E" w:rsidR="00D30FF0" w:rsidRPr="001D15EE" w:rsidRDefault="00A30414" w:rsidP="007F72D6">
      <w:pPr>
        <w:spacing w:line="276" w:lineRule="auto"/>
        <w:ind w:firstLine="720"/>
        <w:jc w:val="both"/>
        <w:rPr>
          <w:rFonts w:asciiTheme="minorHAnsi" w:eastAsia="Calibri" w:hAnsiTheme="minorHAnsi" w:cstheme="minorHAnsi"/>
          <w:sz w:val="22"/>
          <w:szCs w:val="22"/>
        </w:rPr>
      </w:pPr>
      <w:r w:rsidRPr="001D15EE">
        <w:rPr>
          <w:rFonts w:asciiTheme="minorHAnsi" w:eastAsia="Calibri" w:hAnsiTheme="minorHAnsi" w:cstheme="minorHAnsi"/>
          <w:sz w:val="22"/>
          <w:szCs w:val="22"/>
        </w:rPr>
        <w:t xml:space="preserve">However, this does not seem to imply that the JLD is reviewing all these aspects of the detention measure </w:t>
      </w:r>
      <w:r w:rsidRPr="001D15EE">
        <w:rPr>
          <w:rFonts w:asciiTheme="minorHAnsi" w:eastAsia="Calibri" w:hAnsiTheme="minorHAnsi" w:cstheme="minorHAnsi"/>
          <w:i/>
          <w:iCs/>
          <w:sz w:val="22"/>
          <w:szCs w:val="22"/>
        </w:rPr>
        <w:t>ex officio</w:t>
      </w:r>
      <w:r w:rsidRPr="001D15EE">
        <w:rPr>
          <w:rFonts w:asciiTheme="minorHAnsi" w:eastAsia="Calibri" w:hAnsiTheme="minorHAnsi" w:cstheme="minorHAnsi"/>
          <w:sz w:val="22"/>
          <w:szCs w:val="22"/>
        </w:rPr>
        <w:t xml:space="preserve">. </w:t>
      </w:r>
      <w:r w:rsidR="00C47239" w:rsidRPr="001D15EE">
        <w:rPr>
          <w:rFonts w:asciiTheme="minorHAnsi" w:eastAsia="Calibri" w:hAnsiTheme="minorHAnsi" w:cstheme="minorHAnsi"/>
          <w:sz w:val="22"/>
          <w:szCs w:val="22"/>
        </w:rPr>
        <w:t xml:space="preserve">Before the JLD, any </w:t>
      </w:r>
      <w:r w:rsidR="000F0967">
        <w:rPr>
          <w:rFonts w:asciiTheme="minorHAnsi" w:eastAsia="Calibri" w:hAnsiTheme="minorHAnsi" w:cstheme="minorHAnsi"/>
          <w:sz w:val="22"/>
          <w:szCs w:val="22"/>
        </w:rPr>
        <w:t>grounds for unlawfulness</w:t>
      </w:r>
      <w:r w:rsidR="00C47239" w:rsidRPr="001D15EE">
        <w:rPr>
          <w:rFonts w:asciiTheme="minorHAnsi" w:eastAsia="Calibri" w:hAnsiTheme="minorHAnsi" w:cstheme="minorHAnsi"/>
          <w:sz w:val="22"/>
          <w:szCs w:val="22"/>
        </w:rPr>
        <w:t xml:space="preserve"> must be raised </w:t>
      </w:r>
      <w:r w:rsidR="00C47239" w:rsidRPr="001D15EE">
        <w:rPr>
          <w:rFonts w:asciiTheme="minorHAnsi" w:eastAsia="Calibri" w:hAnsiTheme="minorHAnsi" w:cstheme="minorHAnsi"/>
          <w:i/>
          <w:sz w:val="22"/>
          <w:szCs w:val="22"/>
        </w:rPr>
        <w:t xml:space="preserve">in limine litis </w:t>
      </w:r>
      <w:r w:rsidR="00C47239" w:rsidRPr="001D15EE">
        <w:rPr>
          <w:rFonts w:asciiTheme="minorHAnsi" w:eastAsia="Calibri" w:hAnsiTheme="minorHAnsi" w:cstheme="minorHAnsi"/>
          <w:sz w:val="22"/>
          <w:szCs w:val="22"/>
        </w:rPr>
        <w:t>(from the start of the process) in written form</w:t>
      </w:r>
      <w:r w:rsidR="00C47239" w:rsidRPr="001D15EE">
        <w:rPr>
          <w:rFonts w:asciiTheme="minorHAnsi" w:eastAsia="Calibri" w:hAnsiTheme="minorHAnsi" w:cstheme="minorHAnsi"/>
          <w:i/>
          <w:sz w:val="22"/>
          <w:szCs w:val="22"/>
        </w:rPr>
        <w:t>.</w:t>
      </w:r>
      <w:r w:rsidR="00C47239" w:rsidRPr="001D15EE">
        <w:rPr>
          <w:rFonts w:asciiTheme="minorHAnsi" w:eastAsia="Calibri" w:hAnsiTheme="minorHAnsi" w:cstheme="minorHAnsi"/>
          <w:sz w:val="22"/>
          <w:szCs w:val="22"/>
          <w:vertAlign w:val="superscript"/>
        </w:rPr>
        <w:footnoteReference w:id="64"/>
      </w:r>
      <w:r w:rsidRPr="001D15EE">
        <w:rPr>
          <w:rFonts w:asciiTheme="minorHAnsi" w:eastAsia="Calibri" w:hAnsiTheme="minorHAnsi" w:cstheme="minorHAnsi"/>
          <w:i/>
          <w:sz w:val="22"/>
          <w:szCs w:val="22"/>
        </w:rPr>
        <w:t xml:space="preserve"> </w:t>
      </w:r>
      <w:r w:rsidRPr="001D15EE">
        <w:rPr>
          <w:rFonts w:asciiTheme="minorHAnsi" w:eastAsia="Calibri" w:hAnsiTheme="minorHAnsi" w:cstheme="minorHAnsi"/>
          <w:sz w:val="22"/>
          <w:szCs w:val="22"/>
        </w:rPr>
        <w:t xml:space="preserve">A study based in Lyon mentions that </w:t>
      </w:r>
      <w:r w:rsidR="000F0967">
        <w:rPr>
          <w:rFonts w:asciiTheme="minorHAnsi" w:eastAsia="Calibri" w:hAnsiTheme="minorHAnsi" w:cstheme="minorHAnsi"/>
          <w:sz w:val="22"/>
          <w:szCs w:val="22"/>
        </w:rPr>
        <w:t xml:space="preserve">the </w:t>
      </w:r>
      <w:r w:rsidRPr="001D15EE">
        <w:rPr>
          <w:rFonts w:asciiTheme="minorHAnsi" w:eastAsia="Calibri" w:hAnsiTheme="minorHAnsi" w:cstheme="minorHAnsi"/>
          <w:sz w:val="22"/>
          <w:szCs w:val="22"/>
        </w:rPr>
        <w:t xml:space="preserve">JLDs may order the release of the </w:t>
      </w:r>
      <w:r w:rsidR="00D30FF0" w:rsidRPr="001D15EE">
        <w:rPr>
          <w:rFonts w:asciiTheme="minorHAnsi" w:eastAsia="Calibri" w:hAnsiTheme="minorHAnsi" w:cstheme="minorHAnsi"/>
          <w:sz w:val="22"/>
          <w:szCs w:val="22"/>
        </w:rPr>
        <w:t>TCN</w:t>
      </w:r>
      <w:r w:rsidRPr="001D15EE">
        <w:rPr>
          <w:rFonts w:asciiTheme="minorHAnsi" w:eastAsia="Calibri" w:hAnsiTheme="minorHAnsi" w:cstheme="minorHAnsi"/>
          <w:sz w:val="22"/>
          <w:szCs w:val="22"/>
        </w:rPr>
        <w:t xml:space="preserve"> or issue a compulsory residence order (assignation à residence) </w:t>
      </w:r>
      <w:r w:rsidRPr="001D15EE">
        <w:rPr>
          <w:rFonts w:asciiTheme="minorHAnsi" w:eastAsia="Calibri" w:hAnsiTheme="minorHAnsi" w:cstheme="minorHAnsi"/>
          <w:i/>
          <w:sz w:val="22"/>
          <w:szCs w:val="22"/>
        </w:rPr>
        <w:t>if these measures are in fact raised by the lawyers of the detainee</w:t>
      </w:r>
      <w:r w:rsidR="00E838AF" w:rsidRPr="001D15EE">
        <w:rPr>
          <w:rFonts w:asciiTheme="minorHAnsi" w:eastAsia="Calibri" w:hAnsiTheme="minorHAnsi" w:cstheme="minorHAnsi"/>
          <w:i/>
          <w:sz w:val="22"/>
          <w:szCs w:val="22"/>
        </w:rPr>
        <w:t>,</w:t>
      </w:r>
      <w:r w:rsidRPr="001D15EE">
        <w:rPr>
          <w:rFonts w:asciiTheme="minorHAnsi" w:eastAsia="Calibri" w:hAnsiTheme="minorHAnsi" w:cstheme="minorHAnsi"/>
          <w:sz w:val="22"/>
          <w:szCs w:val="22"/>
        </w:rPr>
        <w:t xml:space="preserve"> </w:t>
      </w:r>
      <w:r w:rsidR="00E838AF" w:rsidRPr="001D15EE">
        <w:rPr>
          <w:rFonts w:asciiTheme="minorHAnsi" w:eastAsia="Calibri" w:hAnsiTheme="minorHAnsi" w:cstheme="minorHAnsi"/>
          <w:sz w:val="22"/>
          <w:szCs w:val="22"/>
        </w:rPr>
        <w:t>e</w:t>
      </w:r>
      <w:r w:rsidRPr="001D15EE">
        <w:rPr>
          <w:rFonts w:asciiTheme="minorHAnsi" w:eastAsia="Calibri" w:hAnsiTheme="minorHAnsi" w:cstheme="minorHAnsi"/>
          <w:sz w:val="22"/>
          <w:szCs w:val="22"/>
        </w:rPr>
        <w:t xml:space="preserve">ither because </w:t>
      </w:r>
      <w:r w:rsidR="000F0967">
        <w:rPr>
          <w:rFonts w:asciiTheme="minorHAnsi" w:eastAsia="Calibri" w:hAnsiTheme="minorHAnsi" w:cstheme="minorHAnsi"/>
          <w:sz w:val="22"/>
          <w:szCs w:val="22"/>
        </w:rPr>
        <w:t>grounds for unlawfulness</w:t>
      </w:r>
      <w:r w:rsidRPr="001D15EE">
        <w:rPr>
          <w:rFonts w:asciiTheme="minorHAnsi" w:eastAsia="Calibri" w:hAnsiTheme="minorHAnsi" w:cstheme="minorHAnsi"/>
          <w:sz w:val="22"/>
          <w:szCs w:val="22"/>
        </w:rPr>
        <w:t xml:space="preserve"> have been raised or because means of recourse have been presented regarding the initial detention or the prolongation.</w:t>
      </w:r>
      <w:r w:rsidR="00E838AF" w:rsidRPr="001D15EE">
        <w:rPr>
          <w:rStyle w:val="FootnoteReference"/>
          <w:rFonts w:asciiTheme="minorHAnsi" w:eastAsia="Calibri" w:hAnsiTheme="minorHAnsi" w:cstheme="minorHAnsi"/>
          <w:iCs/>
          <w:sz w:val="22"/>
          <w:szCs w:val="22"/>
        </w:rPr>
        <w:footnoteReference w:id="65"/>
      </w:r>
      <w:r w:rsidRPr="001D15EE">
        <w:rPr>
          <w:rFonts w:asciiTheme="minorHAnsi" w:eastAsia="Calibri" w:hAnsiTheme="minorHAnsi" w:cstheme="minorHAnsi"/>
          <w:sz w:val="22"/>
          <w:szCs w:val="22"/>
        </w:rPr>
        <w:t xml:space="preserve"> If none of these issues are raised, the judge</w:t>
      </w:r>
      <w:r w:rsidR="00E838AF" w:rsidRPr="001D15EE">
        <w:rPr>
          <w:rFonts w:asciiTheme="minorHAnsi" w:eastAsia="Calibri" w:hAnsiTheme="minorHAnsi" w:cstheme="minorHAnsi"/>
          <w:sz w:val="22"/>
          <w:szCs w:val="22"/>
        </w:rPr>
        <w:t>s</w:t>
      </w:r>
      <w:r w:rsidRPr="001D15EE">
        <w:rPr>
          <w:rFonts w:asciiTheme="minorHAnsi" w:eastAsia="Calibri" w:hAnsiTheme="minorHAnsi" w:cstheme="minorHAnsi"/>
          <w:sz w:val="22"/>
          <w:szCs w:val="22"/>
        </w:rPr>
        <w:t xml:space="preserve"> do not </w:t>
      </w:r>
      <w:r w:rsidR="000F0967">
        <w:rPr>
          <w:rFonts w:asciiTheme="minorHAnsi" w:eastAsia="Calibri" w:hAnsiTheme="minorHAnsi" w:cstheme="minorHAnsi"/>
          <w:sz w:val="22"/>
          <w:szCs w:val="22"/>
        </w:rPr>
        <w:t>rule</w:t>
      </w:r>
      <w:r w:rsidRPr="001D15EE">
        <w:rPr>
          <w:rFonts w:asciiTheme="minorHAnsi" w:eastAsia="Calibri" w:hAnsiTheme="minorHAnsi" w:cstheme="minorHAnsi"/>
          <w:sz w:val="22"/>
          <w:szCs w:val="22"/>
        </w:rPr>
        <w:t xml:space="preserve"> on the matter, since</w:t>
      </w:r>
      <w:r w:rsidR="000F0967">
        <w:rPr>
          <w:rFonts w:asciiTheme="minorHAnsi" w:eastAsia="Calibri" w:hAnsiTheme="minorHAnsi" w:cstheme="minorHAnsi"/>
          <w:sz w:val="22"/>
          <w:szCs w:val="22"/>
        </w:rPr>
        <w:t xml:space="preserve"> the</w:t>
      </w:r>
      <w:r w:rsidRPr="001D15EE">
        <w:rPr>
          <w:rFonts w:asciiTheme="minorHAnsi" w:eastAsia="Calibri" w:hAnsiTheme="minorHAnsi" w:cstheme="minorHAnsi"/>
          <w:sz w:val="22"/>
          <w:szCs w:val="22"/>
        </w:rPr>
        <w:t xml:space="preserve"> JLDs (at least in Lyon) consider that they rarely may take it upon themselves to raise these issues and therefore make a decision that is not asked explicitly from them.</w:t>
      </w:r>
      <w:r w:rsidRPr="001D15EE">
        <w:rPr>
          <w:rFonts w:asciiTheme="minorHAnsi" w:eastAsia="Calibri" w:hAnsiTheme="minorHAnsi" w:cstheme="minorHAnsi"/>
          <w:sz w:val="22"/>
          <w:szCs w:val="22"/>
          <w:vertAlign w:val="superscript"/>
        </w:rPr>
        <w:footnoteReference w:id="66"/>
      </w:r>
      <w:r w:rsidRPr="001D15EE">
        <w:rPr>
          <w:rFonts w:asciiTheme="minorHAnsi" w:eastAsia="Calibri" w:hAnsiTheme="minorHAnsi" w:cstheme="minorHAnsi"/>
          <w:sz w:val="22"/>
          <w:szCs w:val="22"/>
        </w:rPr>
        <w:t xml:space="preserve"> </w:t>
      </w:r>
    </w:p>
    <w:p w14:paraId="18E1F1C5" w14:textId="68F960CE" w:rsidR="00E838AF" w:rsidRPr="001D15EE" w:rsidRDefault="00D30FF0" w:rsidP="007F72D6">
      <w:pPr>
        <w:spacing w:line="276" w:lineRule="auto"/>
        <w:ind w:firstLine="720"/>
        <w:jc w:val="both"/>
        <w:rPr>
          <w:rFonts w:asciiTheme="minorHAnsi" w:eastAsia="Calibri" w:hAnsiTheme="minorHAnsi" w:cstheme="minorHAnsi"/>
          <w:sz w:val="22"/>
          <w:szCs w:val="22"/>
        </w:rPr>
      </w:pPr>
      <w:r w:rsidRPr="001D15EE">
        <w:rPr>
          <w:rFonts w:asciiTheme="minorHAnsi" w:eastAsia="Calibri" w:hAnsiTheme="minorHAnsi" w:cstheme="minorHAnsi"/>
          <w:sz w:val="22"/>
          <w:szCs w:val="22"/>
        </w:rPr>
        <w:lastRenderedPageBreak/>
        <w:t>Another indication that the JLD do</w:t>
      </w:r>
      <w:r w:rsidR="00E13F49">
        <w:rPr>
          <w:rFonts w:asciiTheme="minorHAnsi" w:eastAsia="Calibri" w:hAnsiTheme="minorHAnsi" w:cstheme="minorHAnsi"/>
          <w:sz w:val="22"/>
          <w:szCs w:val="22"/>
        </w:rPr>
        <w:t>es</w:t>
      </w:r>
      <w:r w:rsidRPr="001D15EE">
        <w:rPr>
          <w:rFonts w:asciiTheme="minorHAnsi" w:eastAsia="Calibri" w:hAnsiTheme="minorHAnsi" w:cstheme="minorHAnsi"/>
          <w:sz w:val="22"/>
          <w:szCs w:val="22"/>
        </w:rPr>
        <w:t xml:space="preserve"> not review aspects of detention measures </w:t>
      </w:r>
      <w:r w:rsidRPr="001D15EE">
        <w:rPr>
          <w:rFonts w:asciiTheme="minorHAnsi" w:eastAsia="Calibri" w:hAnsiTheme="minorHAnsi" w:cstheme="minorHAnsi"/>
          <w:i/>
          <w:iCs/>
          <w:sz w:val="22"/>
          <w:szCs w:val="22"/>
        </w:rPr>
        <w:t>ex officio</w:t>
      </w:r>
      <w:r w:rsidRPr="001D15EE">
        <w:rPr>
          <w:rFonts w:asciiTheme="minorHAnsi" w:eastAsia="Calibri" w:hAnsiTheme="minorHAnsi" w:cstheme="minorHAnsi"/>
          <w:sz w:val="22"/>
          <w:szCs w:val="22"/>
        </w:rPr>
        <w:t xml:space="preserve"> </w:t>
      </w:r>
      <w:r w:rsidR="00E13F49">
        <w:rPr>
          <w:rFonts w:asciiTheme="minorHAnsi" w:eastAsia="Calibri" w:hAnsiTheme="minorHAnsi" w:cstheme="minorHAnsi"/>
          <w:sz w:val="22"/>
          <w:szCs w:val="22"/>
        </w:rPr>
        <w:t>can be seen in cases relating to involuntary psychiatric treatment. T</w:t>
      </w:r>
      <w:r w:rsidRPr="001D15EE">
        <w:rPr>
          <w:rFonts w:asciiTheme="minorHAnsi" w:eastAsia="Calibri" w:hAnsiTheme="minorHAnsi" w:cstheme="minorHAnsi"/>
          <w:sz w:val="22"/>
          <w:szCs w:val="22"/>
        </w:rPr>
        <w:t>he Cassation Court has held that JLDs are</w:t>
      </w:r>
      <w:r w:rsidR="00E13F49">
        <w:rPr>
          <w:rFonts w:asciiTheme="minorHAnsi" w:eastAsia="Calibri" w:hAnsiTheme="minorHAnsi" w:cstheme="minorHAnsi"/>
          <w:sz w:val="22"/>
          <w:szCs w:val="22"/>
        </w:rPr>
        <w:t xml:space="preserve"> not</w:t>
      </w:r>
      <w:r w:rsidR="00047AC9">
        <w:rPr>
          <w:rFonts w:asciiTheme="minorHAnsi" w:eastAsia="Calibri" w:hAnsiTheme="minorHAnsi" w:cstheme="minorHAnsi"/>
          <w:sz w:val="22"/>
          <w:szCs w:val="22"/>
        </w:rPr>
        <w:t xml:space="preserve"> </w:t>
      </w:r>
      <w:r w:rsidRPr="001D15EE">
        <w:rPr>
          <w:rFonts w:asciiTheme="minorHAnsi" w:eastAsia="Calibri" w:hAnsiTheme="minorHAnsi" w:cstheme="minorHAnsi"/>
          <w:sz w:val="22"/>
          <w:szCs w:val="22"/>
        </w:rPr>
        <w:t>in principle</w:t>
      </w:r>
      <w:r w:rsidR="00E13F49">
        <w:rPr>
          <w:rFonts w:asciiTheme="minorHAnsi" w:eastAsia="Calibri" w:hAnsiTheme="minorHAnsi" w:cstheme="minorHAnsi"/>
          <w:sz w:val="22"/>
          <w:szCs w:val="22"/>
        </w:rPr>
        <w:t xml:space="preserve"> </w:t>
      </w:r>
      <w:r w:rsidRPr="001D15EE">
        <w:rPr>
          <w:rFonts w:asciiTheme="minorHAnsi" w:eastAsia="Calibri" w:hAnsiTheme="minorHAnsi" w:cstheme="minorHAnsi"/>
          <w:sz w:val="22"/>
          <w:szCs w:val="22"/>
        </w:rPr>
        <w:t xml:space="preserve">required to raise </w:t>
      </w:r>
      <w:r w:rsidR="00E13F49">
        <w:rPr>
          <w:rFonts w:asciiTheme="minorHAnsi" w:eastAsia="Calibri" w:hAnsiTheme="minorHAnsi" w:cstheme="minorHAnsi"/>
          <w:sz w:val="22"/>
          <w:szCs w:val="22"/>
        </w:rPr>
        <w:t>any issues, which</w:t>
      </w:r>
      <w:r w:rsidRPr="001D15EE">
        <w:rPr>
          <w:rFonts w:asciiTheme="minorHAnsi" w:eastAsia="Calibri" w:hAnsiTheme="minorHAnsi" w:cstheme="minorHAnsi"/>
          <w:sz w:val="22"/>
          <w:szCs w:val="22"/>
        </w:rPr>
        <w:t xml:space="preserve"> the parties may have omitted.</w:t>
      </w:r>
      <w:r w:rsidRPr="001D15EE">
        <w:rPr>
          <w:rFonts w:asciiTheme="minorHAnsi" w:eastAsia="Calibri" w:hAnsiTheme="minorHAnsi" w:cstheme="minorHAnsi"/>
          <w:sz w:val="22"/>
          <w:szCs w:val="22"/>
          <w:vertAlign w:val="superscript"/>
        </w:rPr>
        <w:footnoteReference w:id="67"/>
      </w:r>
      <w:r w:rsidRPr="001D15EE">
        <w:rPr>
          <w:rFonts w:asciiTheme="minorHAnsi" w:eastAsia="Calibri" w:hAnsiTheme="minorHAnsi" w:cstheme="minorHAnsi"/>
          <w:sz w:val="22"/>
          <w:szCs w:val="22"/>
        </w:rPr>
        <w:t xml:space="preserve"> This reasoning is based on the underlying principle according </w:t>
      </w:r>
      <w:r w:rsidR="00E13F49">
        <w:rPr>
          <w:rFonts w:asciiTheme="minorHAnsi" w:eastAsia="Calibri" w:hAnsiTheme="minorHAnsi" w:cstheme="minorHAnsi"/>
          <w:sz w:val="22"/>
          <w:szCs w:val="22"/>
        </w:rPr>
        <w:t xml:space="preserve">that </w:t>
      </w:r>
      <w:r w:rsidRPr="001D15EE">
        <w:rPr>
          <w:rFonts w:asciiTheme="minorHAnsi" w:eastAsia="Calibri" w:hAnsiTheme="minorHAnsi" w:cstheme="minorHAnsi"/>
          <w:sz w:val="22"/>
          <w:szCs w:val="22"/>
        </w:rPr>
        <w:t>the appeal is between the parties (</w:t>
      </w:r>
      <w:r w:rsidRPr="001D15EE">
        <w:rPr>
          <w:rFonts w:asciiTheme="minorHAnsi" w:eastAsia="Calibri" w:hAnsiTheme="minorHAnsi" w:cstheme="minorHAnsi"/>
          <w:i/>
          <w:iCs/>
          <w:sz w:val="22"/>
          <w:szCs w:val="22"/>
        </w:rPr>
        <w:t>la chose des parties</w:t>
      </w:r>
      <w:r w:rsidRPr="001D15EE">
        <w:rPr>
          <w:rFonts w:asciiTheme="minorHAnsi" w:eastAsia="Calibri" w:hAnsiTheme="minorHAnsi" w:cstheme="minorHAnsi"/>
          <w:sz w:val="22"/>
          <w:szCs w:val="22"/>
        </w:rPr>
        <w:t>).</w:t>
      </w:r>
      <w:r w:rsidRPr="001D15EE">
        <w:rPr>
          <w:rFonts w:asciiTheme="minorHAnsi" w:eastAsia="Calibri" w:hAnsiTheme="minorHAnsi" w:cstheme="minorHAnsi"/>
          <w:sz w:val="22"/>
          <w:szCs w:val="22"/>
          <w:vertAlign w:val="superscript"/>
        </w:rPr>
        <w:footnoteReference w:id="68"/>
      </w:r>
    </w:p>
    <w:p w14:paraId="16CCD8FB" w14:textId="305204CB" w:rsidR="00A30414" w:rsidRPr="001D15EE" w:rsidRDefault="00A30414" w:rsidP="007F72D6">
      <w:pPr>
        <w:spacing w:line="276" w:lineRule="auto"/>
        <w:ind w:firstLine="720"/>
        <w:jc w:val="both"/>
        <w:rPr>
          <w:rFonts w:asciiTheme="minorHAnsi" w:eastAsia="Calibri" w:hAnsiTheme="minorHAnsi" w:cstheme="minorHAnsi"/>
          <w:sz w:val="22"/>
          <w:szCs w:val="22"/>
        </w:rPr>
      </w:pPr>
      <w:r w:rsidRPr="001D15EE">
        <w:rPr>
          <w:rFonts w:asciiTheme="minorHAnsi" w:eastAsia="Calibri" w:hAnsiTheme="minorHAnsi" w:cstheme="minorHAnsi"/>
          <w:sz w:val="22"/>
          <w:szCs w:val="22"/>
        </w:rPr>
        <w:t xml:space="preserve">However, </w:t>
      </w:r>
      <w:r w:rsidR="00D30FF0" w:rsidRPr="001D15EE">
        <w:rPr>
          <w:rFonts w:asciiTheme="minorHAnsi" w:eastAsia="Calibri" w:hAnsiTheme="minorHAnsi" w:cstheme="minorHAnsi"/>
          <w:sz w:val="22"/>
          <w:szCs w:val="22"/>
        </w:rPr>
        <w:t>JLD’s are required to raise issues of ‘public order’ (</w:t>
      </w:r>
      <w:r w:rsidR="00D30FF0" w:rsidRPr="001D15EE">
        <w:rPr>
          <w:rFonts w:asciiTheme="minorHAnsi" w:eastAsia="Calibri" w:hAnsiTheme="minorHAnsi" w:cstheme="minorHAnsi"/>
          <w:i/>
          <w:iCs/>
          <w:sz w:val="22"/>
          <w:szCs w:val="22"/>
        </w:rPr>
        <w:t>moyens d’ordre public</w:t>
      </w:r>
      <w:r w:rsidR="00D30FF0" w:rsidRPr="001D15EE">
        <w:rPr>
          <w:rFonts w:asciiTheme="minorHAnsi" w:eastAsia="Calibri" w:hAnsiTheme="minorHAnsi" w:cstheme="minorHAnsi"/>
          <w:sz w:val="22"/>
          <w:szCs w:val="22"/>
        </w:rPr>
        <w:t xml:space="preserve">) </w:t>
      </w:r>
      <w:r w:rsidR="00D30FF0" w:rsidRPr="001D15EE">
        <w:rPr>
          <w:rFonts w:asciiTheme="minorHAnsi" w:eastAsia="Calibri" w:hAnsiTheme="minorHAnsi" w:cstheme="minorHAnsi"/>
          <w:i/>
          <w:iCs/>
          <w:sz w:val="22"/>
          <w:szCs w:val="22"/>
        </w:rPr>
        <w:t>ex officio</w:t>
      </w:r>
      <w:r w:rsidR="00D30FF0" w:rsidRPr="001D15EE">
        <w:rPr>
          <w:rFonts w:asciiTheme="minorHAnsi" w:eastAsia="Calibri" w:hAnsiTheme="minorHAnsi" w:cstheme="minorHAnsi"/>
          <w:sz w:val="22"/>
          <w:szCs w:val="22"/>
        </w:rPr>
        <w:t xml:space="preserve"> (</w:t>
      </w:r>
      <w:r w:rsidR="00D30FF0" w:rsidRPr="001D15EE">
        <w:rPr>
          <w:rFonts w:asciiTheme="minorHAnsi" w:eastAsia="Calibri" w:hAnsiTheme="minorHAnsi" w:cstheme="minorHAnsi"/>
          <w:i/>
          <w:iCs/>
          <w:sz w:val="22"/>
          <w:szCs w:val="22"/>
        </w:rPr>
        <w:t>soulever d‘office</w:t>
      </w:r>
      <w:r w:rsidR="00D30FF0" w:rsidRPr="001D15EE">
        <w:rPr>
          <w:rFonts w:asciiTheme="minorHAnsi" w:eastAsia="Calibri" w:hAnsiTheme="minorHAnsi" w:cstheme="minorHAnsi"/>
          <w:sz w:val="22"/>
          <w:szCs w:val="22"/>
        </w:rPr>
        <w:t xml:space="preserve">). </w:t>
      </w:r>
      <w:r w:rsidRPr="001D15EE">
        <w:rPr>
          <w:rFonts w:asciiTheme="minorHAnsi" w:eastAsia="Calibri" w:hAnsiTheme="minorHAnsi" w:cstheme="minorHAnsi"/>
          <w:sz w:val="22"/>
          <w:szCs w:val="22"/>
        </w:rPr>
        <w:t xml:space="preserve">These </w:t>
      </w:r>
      <w:r w:rsidR="00E838AF" w:rsidRPr="001D15EE">
        <w:rPr>
          <w:rFonts w:asciiTheme="minorHAnsi" w:eastAsia="Calibri" w:hAnsiTheme="minorHAnsi" w:cstheme="minorHAnsi"/>
          <w:sz w:val="22"/>
          <w:szCs w:val="22"/>
        </w:rPr>
        <w:t>issues</w:t>
      </w:r>
      <w:r w:rsidRPr="001D15EE">
        <w:rPr>
          <w:rFonts w:asciiTheme="minorHAnsi" w:eastAsia="Calibri" w:hAnsiTheme="minorHAnsi" w:cstheme="minorHAnsi"/>
          <w:sz w:val="22"/>
          <w:szCs w:val="22"/>
        </w:rPr>
        <w:t xml:space="preserve"> of </w:t>
      </w:r>
      <w:r w:rsidR="00E838AF" w:rsidRPr="001D15EE">
        <w:rPr>
          <w:rFonts w:asciiTheme="minorHAnsi" w:eastAsia="Calibri" w:hAnsiTheme="minorHAnsi" w:cstheme="minorHAnsi"/>
          <w:sz w:val="22"/>
          <w:szCs w:val="22"/>
        </w:rPr>
        <w:t>‘</w:t>
      </w:r>
      <w:r w:rsidRPr="001D15EE">
        <w:rPr>
          <w:rFonts w:asciiTheme="minorHAnsi" w:eastAsia="Calibri" w:hAnsiTheme="minorHAnsi" w:cstheme="minorHAnsi"/>
          <w:sz w:val="22"/>
          <w:szCs w:val="22"/>
        </w:rPr>
        <w:t>public order</w:t>
      </w:r>
      <w:r w:rsidR="00E838AF" w:rsidRPr="001D15EE">
        <w:rPr>
          <w:rFonts w:asciiTheme="minorHAnsi" w:eastAsia="Calibri" w:hAnsiTheme="minorHAnsi" w:cstheme="minorHAnsi"/>
          <w:sz w:val="22"/>
          <w:szCs w:val="22"/>
        </w:rPr>
        <w:t>’</w:t>
      </w:r>
      <w:r w:rsidRPr="001D15EE">
        <w:rPr>
          <w:rFonts w:asciiTheme="minorHAnsi" w:eastAsia="Calibri" w:hAnsiTheme="minorHAnsi" w:cstheme="minorHAnsi"/>
          <w:sz w:val="22"/>
          <w:szCs w:val="22"/>
        </w:rPr>
        <w:t xml:space="preserve"> are serious breaches in procedure, for example the incompetence of the author</w:t>
      </w:r>
      <w:r w:rsidR="00E13F49">
        <w:rPr>
          <w:rFonts w:asciiTheme="minorHAnsi" w:eastAsia="Calibri" w:hAnsiTheme="minorHAnsi" w:cstheme="minorHAnsi"/>
          <w:sz w:val="22"/>
          <w:szCs w:val="22"/>
        </w:rPr>
        <w:t>ities to carry out a particular</w:t>
      </w:r>
      <w:r w:rsidRPr="001D15EE">
        <w:rPr>
          <w:rFonts w:asciiTheme="minorHAnsi" w:eastAsia="Calibri" w:hAnsiTheme="minorHAnsi" w:cstheme="minorHAnsi"/>
          <w:sz w:val="22"/>
          <w:szCs w:val="22"/>
        </w:rPr>
        <w:t xml:space="preserve"> administrative act.</w:t>
      </w:r>
      <w:r w:rsidRPr="001D15EE">
        <w:rPr>
          <w:rFonts w:asciiTheme="minorHAnsi" w:eastAsia="Calibri" w:hAnsiTheme="minorHAnsi" w:cstheme="minorHAnsi"/>
          <w:sz w:val="22"/>
          <w:szCs w:val="22"/>
          <w:vertAlign w:val="superscript"/>
        </w:rPr>
        <w:footnoteReference w:id="69"/>
      </w:r>
      <w:r w:rsidRPr="001D15EE">
        <w:rPr>
          <w:rFonts w:asciiTheme="minorHAnsi" w:eastAsia="Calibri" w:hAnsiTheme="minorHAnsi" w:cstheme="minorHAnsi"/>
          <w:sz w:val="22"/>
          <w:szCs w:val="22"/>
        </w:rPr>
        <w:t xml:space="preserve"> Although the</w:t>
      </w:r>
      <w:r w:rsidR="00E13F49">
        <w:rPr>
          <w:rFonts w:asciiTheme="minorHAnsi" w:eastAsia="Calibri" w:hAnsiTheme="minorHAnsi" w:cstheme="minorHAnsi"/>
          <w:sz w:val="22"/>
          <w:szCs w:val="22"/>
        </w:rPr>
        <w:t xml:space="preserve"> courts have not commented on this question to date</w:t>
      </w:r>
      <w:r w:rsidRPr="001D15EE">
        <w:rPr>
          <w:rFonts w:asciiTheme="minorHAnsi" w:eastAsia="Calibri" w:hAnsiTheme="minorHAnsi" w:cstheme="minorHAnsi"/>
          <w:sz w:val="22"/>
          <w:szCs w:val="22"/>
        </w:rPr>
        <w:t xml:space="preserve">, this could imply that in principle the JLD has the possibility (if not </w:t>
      </w:r>
      <w:r w:rsidR="00E13F49">
        <w:rPr>
          <w:rFonts w:asciiTheme="minorHAnsi" w:eastAsia="Calibri" w:hAnsiTheme="minorHAnsi" w:cstheme="minorHAnsi"/>
          <w:sz w:val="22"/>
          <w:szCs w:val="22"/>
        </w:rPr>
        <w:t>the</w:t>
      </w:r>
      <w:r w:rsidRPr="001D15EE">
        <w:rPr>
          <w:rFonts w:asciiTheme="minorHAnsi" w:eastAsia="Calibri" w:hAnsiTheme="minorHAnsi" w:cstheme="minorHAnsi"/>
          <w:sz w:val="22"/>
          <w:szCs w:val="22"/>
        </w:rPr>
        <w:t xml:space="preserve"> obligation) to review a serious breach of procedure during the review of</w:t>
      </w:r>
      <w:r w:rsidR="00D30FF0" w:rsidRPr="001D15EE">
        <w:rPr>
          <w:rFonts w:asciiTheme="minorHAnsi" w:eastAsia="Calibri" w:hAnsiTheme="minorHAnsi" w:cstheme="minorHAnsi"/>
          <w:sz w:val="22"/>
          <w:szCs w:val="22"/>
        </w:rPr>
        <w:t xml:space="preserve"> the</w:t>
      </w:r>
      <w:r w:rsidRPr="001D15EE">
        <w:rPr>
          <w:rFonts w:asciiTheme="minorHAnsi" w:eastAsia="Calibri" w:hAnsiTheme="minorHAnsi" w:cstheme="minorHAnsi"/>
          <w:sz w:val="22"/>
          <w:szCs w:val="22"/>
        </w:rPr>
        <w:t xml:space="preserve"> detention </w:t>
      </w:r>
      <w:r w:rsidR="00D30FF0" w:rsidRPr="001D15EE">
        <w:rPr>
          <w:rFonts w:asciiTheme="minorHAnsi" w:eastAsia="Calibri" w:hAnsiTheme="minorHAnsi" w:cstheme="minorHAnsi"/>
          <w:sz w:val="22"/>
          <w:szCs w:val="22"/>
        </w:rPr>
        <w:t>of a TCN</w:t>
      </w:r>
      <w:r w:rsidRPr="001D15EE">
        <w:rPr>
          <w:rFonts w:asciiTheme="minorHAnsi" w:eastAsia="Calibri" w:hAnsiTheme="minorHAnsi" w:cstheme="minorHAnsi"/>
          <w:sz w:val="22"/>
          <w:szCs w:val="22"/>
        </w:rPr>
        <w:t>.</w:t>
      </w:r>
    </w:p>
    <w:p w14:paraId="5253764B" w14:textId="77777777" w:rsidR="00C47239" w:rsidRPr="001D15EE" w:rsidRDefault="00C47239" w:rsidP="007F72D6">
      <w:pPr>
        <w:spacing w:line="276" w:lineRule="auto"/>
        <w:rPr>
          <w:rFonts w:asciiTheme="minorHAnsi" w:hAnsiTheme="minorHAnsi" w:cstheme="minorHAnsi"/>
          <w:sz w:val="22"/>
          <w:szCs w:val="22"/>
        </w:rPr>
      </w:pPr>
    </w:p>
    <w:p w14:paraId="62DE9AD6" w14:textId="3174986E" w:rsidR="002000C2" w:rsidRPr="001D15EE" w:rsidRDefault="007D36E2" w:rsidP="007F72D6">
      <w:pPr>
        <w:pStyle w:val="Heading3"/>
        <w:spacing w:line="276" w:lineRule="auto"/>
        <w:rPr>
          <w:rFonts w:asciiTheme="minorHAnsi" w:hAnsiTheme="minorHAnsi" w:cstheme="minorHAnsi"/>
          <w:b/>
          <w:bCs/>
          <w:sz w:val="22"/>
          <w:szCs w:val="22"/>
        </w:rPr>
      </w:pPr>
      <w:bookmarkStart w:id="23" w:name="_Toc66828031"/>
      <w:r w:rsidRPr="001D15EE">
        <w:rPr>
          <w:rFonts w:asciiTheme="minorHAnsi" w:hAnsiTheme="minorHAnsi" w:cstheme="minorHAnsi"/>
          <w:b/>
          <w:bCs/>
          <w:sz w:val="22"/>
          <w:szCs w:val="22"/>
        </w:rPr>
        <w:t>3.1.3 The United Kingdom</w:t>
      </w:r>
      <w:bookmarkEnd w:id="23"/>
    </w:p>
    <w:p w14:paraId="31D17A8E" w14:textId="4020C63F" w:rsidR="002000C2" w:rsidRPr="001D15EE" w:rsidRDefault="002000C2" w:rsidP="007F72D6">
      <w:pPr>
        <w:spacing w:line="276" w:lineRule="auto"/>
        <w:rPr>
          <w:rFonts w:asciiTheme="minorHAnsi" w:hAnsiTheme="minorHAnsi" w:cstheme="minorHAnsi"/>
        </w:rPr>
      </w:pPr>
    </w:p>
    <w:p w14:paraId="1F057D63" w14:textId="112392B8" w:rsidR="007D36E2" w:rsidRPr="001D15EE" w:rsidRDefault="007D36E2" w:rsidP="007F72D6">
      <w:pPr>
        <w:spacing w:line="276" w:lineRule="auto"/>
        <w:jc w:val="both"/>
        <w:rPr>
          <w:rFonts w:asciiTheme="minorHAnsi" w:eastAsia="Calibri" w:hAnsiTheme="minorHAnsi" w:cstheme="minorHAnsi"/>
          <w:sz w:val="22"/>
          <w:szCs w:val="22"/>
        </w:rPr>
      </w:pPr>
      <w:r w:rsidRPr="001D15EE">
        <w:rPr>
          <w:rFonts w:asciiTheme="minorHAnsi" w:eastAsia="Calibri" w:hAnsiTheme="minorHAnsi" w:cstheme="minorHAnsi"/>
          <w:sz w:val="22"/>
          <w:szCs w:val="22"/>
        </w:rPr>
        <w:t>The U</w:t>
      </w:r>
      <w:r w:rsidR="00896DDA" w:rsidRPr="001D15EE">
        <w:rPr>
          <w:rFonts w:asciiTheme="minorHAnsi" w:eastAsia="Calibri" w:hAnsiTheme="minorHAnsi" w:cstheme="minorHAnsi"/>
          <w:sz w:val="22"/>
          <w:szCs w:val="22"/>
        </w:rPr>
        <w:t xml:space="preserve">nited </w:t>
      </w:r>
      <w:r w:rsidRPr="001D15EE">
        <w:rPr>
          <w:rFonts w:asciiTheme="minorHAnsi" w:eastAsia="Calibri" w:hAnsiTheme="minorHAnsi" w:cstheme="minorHAnsi"/>
          <w:sz w:val="22"/>
          <w:szCs w:val="22"/>
        </w:rPr>
        <w:t>K</w:t>
      </w:r>
      <w:r w:rsidR="00896DDA" w:rsidRPr="001D15EE">
        <w:rPr>
          <w:rFonts w:asciiTheme="minorHAnsi" w:eastAsia="Calibri" w:hAnsiTheme="minorHAnsi" w:cstheme="minorHAnsi"/>
          <w:sz w:val="22"/>
          <w:szCs w:val="22"/>
        </w:rPr>
        <w:t xml:space="preserve">ingdom (henceforth: </w:t>
      </w:r>
      <w:r w:rsidR="00E13F49">
        <w:rPr>
          <w:rFonts w:asciiTheme="minorHAnsi" w:eastAsia="Calibri" w:hAnsiTheme="minorHAnsi" w:cstheme="minorHAnsi"/>
          <w:sz w:val="22"/>
          <w:szCs w:val="22"/>
        </w:rPr>
        <w:t xml:space="preserve">the </w:t>
      </w:r>
      <w:r w:rsidR="00896DDA" w:rsidRPr="001D15EE">
        <w:rPr>
          <w:rFonts w:asciiTheme="minorHAnsi" w:eastAsia="Calibri" w:hAnsiTheme="minorHAnsi" w:cstheme="minorHAnsi"/>
          <w:sz w:val="22"/>
          <w:szCs w:val="22"/>
        </w:rPr>
        <w:t>UK)</w:t>
      </w:r>
      <w:r w:rsidRPr="001D15EE">
        <w:rPr>
          <w:rFonts w:asciiTheme="minorHAnsi" w:eastAsia="Calibri" w:hAnsiTheme="minorHAnsi" w:cstheme="minorHAnsi"/>
          <w:sz w:val="22"/>
          <w:szCs w:val="22"/>
        </w:rPr>
        <w:t xml:space="preserve"> did not participate in the Returns Directive</w:t>
      </w:r>
      <w:r w:rsidRPr="001D15EE">
        <w:rPr>
          <w:rFonts w:asciiTheme="minorHAnsi" w:eastAsia="Calibri" w:hAnsiTheme="minorHAnsi" w:cstheme="minorHAnsi"/>
          <w:sz w:val="22"/>
          <w:szCs w:val="22"/>
          <w:vertAlign w:val="superscript"/>
        </w:rPr>
        <w:footnoteReference w:id="70"/>
      </w:r>
      <w:r w:rsidR="00896DDA" w:rsidRPr="001D15EE">
        <w:rPr>
          <w:rFonts w:asciiTheme="minorHAnsi" w:eastAsia="Calibri" w:hAnsiTheme="minorHAnsi" w:cstheme="minorHAnsi"/>
          <w:sz w:val="22"/>
          <w:szCs w:val="22"/>
        </w:rPr>
        <w:t>, but is bound by Article 5 of the European Convention of Human Rights. In the UK,</w:t>
      </w:r>
      <w:r w:rsidR="00341110">
        <w:rPr>
          <w:rFonts w:asciiTheme="minorHAnsi" w:eastAsia="Calibri" w:hAnsiTheme="minorHAnsi" w:cstheme="minorHAnsi"/>
          <w:sz w:val="22"/>
          <w:szCs w:val="22"/>
        </w:rPr>
        <w:t xml:space="preserve"> </w:t>
      </w:r>
      <w:r w:rsidR="00896DDA" w:rsidRPr="001D15EE">
        <w:rPr>
          <w:rFonts w:asciiTheme="minorHAnsi" w:eastAsia="Calibri" w:hAnsiTheme="minorHAnsi" w:cstheme="minorHAnsi"/>
          <w:sz w:val="22"/>
          <w:szCs w:val="22"/>
        </w:rPr>
        <w:t>t</w:t>
      </w:r>
      <w:r w:rsidRPr="001D15EE">
        <w:rPr>
          <w:rFonts w:asciiTheme="minorHAnsi" w:eastAsia="Calibri" w:hAnsiTheme="minorHAnsi" w:cstheme="minorHAnsi"/>
          <w:sz w:val="22"/>
          <w:szCs w:val="22"/>
        </w:rPr>
        <w:t xml:space="preserve">here is no statutory right to appeal a detention decision </w:t>
      </w:r>
      <w:r w:rsidR="00896DDA" w:rsidRPr="001D15EE">
        <w:rPr>
          <w:rFonts w:asciiTheme="minorHAnsi" w:eastAsia="Calibri" w:hAnsiTheme="minorHAnsi" w:cstheme="minorHAnsi"/>
          <w:sz w:val="22"/>
          <w:szCs w:val="22"/>
        </w:rPr>
        <w:t>under</w:t>
      </w:r>
      <w:r w:rsidRPr="001D15EE">
        <w:rPr>
          <w:rFonts w:asciiTheme="minorHAnsi" w:eastAsia="Calibri" w:hAnsiTheme="minorHAnsi" w:cstheme="minorHAnsi"/>
          <w:sz w:val="22"/>
          <w:szCs w:val="22"/>
        </w:rPr>
        <w:t xml:space="preserve"> national law.</w:t>
      </w:r>
      <w:r w:rsidR="00341110">
        <w:rPr>
          <w:rFonts w:asciiTheme="minorHAnsi" w:eastAsia="Calibri" w:hAnsiTheme="minorHAnsi" w:cstheme="minorHAnsi"/>
          <w:sz w:val="22"/>
          <w:szCs w:val="22"/>
        </w:rPr>
        <w:t xml:space="preserve"> </w:t>
      </w:r>
      <w:r w:rsidRPr="001D15EE">
        <w:rPr>
          <w:rFonts w:asciiTheme="minorHAnsi" w:eastAsia="Calibri" w:hAnsiTheme="minorHAnsi" w:cstheme="minorHAnsi"/>
          <w:sz w:val="22"/>
          <w:szCs w:val="22"/>
        </w:rPr>
        <w:t xml:space="preserve">Detainees can only challenge the lawfulness of detention by applying for </w:t>
      </w:r>
      <w:r w:rsidRPr="001D15EE">
        <w:rPr>
          <w:rFonts w:asciiTheme="minorHAnsi" w:eastAsia="Calibri" w:hAnsiTheme="minorHAnsi" w:cstheme="minorHAnsi"/>
          <w:i/>
          <w:sz w:val="22"/>
          <w:szCs w:val="22"/>
        </w:rPr>
        <w:t>habeas corpus</w:t>
      </w:r>
      <w:r w:rsidR="00896DDA" w:rsidRPr="001D15EE">
        <w:rPr>
          <w:rFonts w:asciiTheme="minorHAnsi" w:eastAsia="Calibri" w:hAnsiTheme="minorHAnsi" w:cstheme="minorHAnsi"/>
          <w:sz w:val="22"/>
          <w:szCs w:val="22"/>
          <w:vertAlign w:val="superscript"/>
        </w:rPr>
        <w:footnoteReference w:id="71"/>
      </w:r>
      <w:r w:rsidRPr="001D15EE">
        <w:rPr>
          <w:rFonts w:asciiTheme="minorHAnsi" w:eastAsia="Calibri" w:hAnsiTheme="minorHAnsi" w:cstheme="minorHAnsi"/>
          <w:i/>
          <w:sz w:val="22"/>
          <w:szCs w:val="22"/>
        </w:rPr>
        <w:t xml:space="preserve"> </w:t>
      </w:r>
      <w:r w:rsidRPr="001D15EE">
        <w:rPr>
          <w:rFonts w:asciiTheme="minorHAnsi" w:eastAsia="Calibri" w:hAnsiTheme="minorHAnsi" w:cstheme="minorHAnsi"/>
          <w:sz w:val="22"/>
          <w:szCs w:val="22"/>
        </w:rPr>
        <w:t>or judicial review before the High Court.</w:t>
      </w:r>
      <w:r w:rsidR="00896DDA" w:rsidRPr="001D15EE">
        <w:rPr>
          <w:rFonts w:asciiTheme="minorHAnsi" w:eastAsia="Calibri" w:hAnsiTheme="minorHAnsi" w:cstheme="minorHAnsi"/>
          <w:sz w:val="22"/>
          <w:szCs w:val="22"/>
        </w:rPr>
        <w:t xml:space="preserve"> </w:t>
      </w:r>
      <w:r w:rsidR="00001706" w:rsidRPr="001D15EE">
        <w:rPr>
          <w:rFonts w:asciiTheme="minorHAnsi" w:eastAsia="Calibri" w:hAnsiTheme="minorHAnsi" w:cstheme="minorHAnsi"/>
          <w:sz w:val="22"/>
          <w:szCs w:val="22"/>
        </w:rPr>
        <w:t xml:space="preserve">Habeas </w:t>
      </w:r>
      <w:r w:rsidR="00E13F49">
        <w:rPr>
          <w:rFonts w:asciiTheme="minorHAnsi" w:eastAsia="Calibri" w:hAnsiTheme="minorHAnsi" w:cstheme="minorHAnsi"/>
          <w:sz w:val="22"/>
          <w:szCs w:val="22"/>
        </w:rPr>
        <w:t>c</w:t>
      </w:r>
      <w:r w:rsidR="00001706" w:rsidRPr="001D15EE">
        <w:rPr>
          <w:rFonts w:asciiTheme="minorHAnsi" w:eastAsia="Calibri" w:hAnsiTheme="minorHAnsi" w:cstheme="minorHAnsi"/>
          <w:sz w:val="22"/>
          <w:szCs w:val="22"/>
        </w:rPr>
        <w:t xml:space="preserve">orpus is available only when detention is carried out by a person or body which lacks the authority to do so. </w:t>
      </w:r>
      <w:r w:rsidRPr="001D15EE">
        <w:rPr>
          <w:rFonts w:asciiTheme="minorHAnsi" w:eastAsia="Calibri" w:hAnsiTheme="minorHAnsi" w:cstheme="minorHAnsi"/>
          <w:sz w:val="22"/>
          <w:szCs w:val="22"/>
        </w:rPr>
        <w:t xml:space="preserve">Judicial review is the method by which detainees may challenge the correct and lawful exercise of these statutory detention powers. </w:t>
      </w:r>
    </w:p>
    <w:p w14:paraId="3ABE34AA" w14:textId="270A3813" w:rsidR="007D36E2" w:rsidRPr="001D15EE" w:rsidRDefault="007D36E2" w:rsidP="007F72D6">
      <w:pPr>
        <w:spacing w:line="276" w:lineRule="auto"/>
        <w:ind w:firstLine="720"/>
        <w:jc w:val="both"/>
        <w:rPr>
          <w:rFonts w:asciiTheme="minorHAnsi" w:eastAsia="Calibri" w:hAnsiTheme="minorHAnsi" w:cstheme="minorHAnsi"/>
          <w:sz w:val="22"/>
          <w:szCs w:val="22"/>
        </w:rPr>
      </w:pPr>
      <w:r w:rsidRPr="001D15EE">
        <w:rPr>
          <w:rFonts w:asciiTheme="minorHAnsi" w:eastAsia="Calibri" w:hAnsiTheme="minorHAnsi" w:cstheme="minorHAnsi"/>
          <w:sz w:val="22"/>
          <w:szCs w:val="22"/>
        </w:rPr>
        <w:t>Judicial review in the UK courts is expressly not an appeal. It is a discretionary remedy which belongs to the High Court. Permission for judicial review is granted only where there is an arguable public law error in an administrative decision.</w:t>
      </w:r>
      <w:r w:rsidRPr="001D15EE">
        <w:rPr>
          <w:rFonts w:asciiTheme="minorHAnsi" w:eastAsia="Calibri" w:hAnsiTheme="minorHAnsi" w:cstheme="minorHAnsi"/>
          <w:sz w:val="22"/>
          <w:szCs w:val="22"/>
          <w:vertAlign w:val="superscript"/>
        </w:rPr>
        <w:footnoteReference w:id="72"/>
      </w:r>
      <w:r w:rsidR="00341110">
        <w:rPr>
          <w:rFonts w:asciiTheme="minorHAnsi" w:eastAsia="Calibri" w:hAnsiTheme="minorHAnsi" w:cstheme="minorHAnsi"/>
          <w:sz w:val="22"/>
          <w:szCs w:val="22"/>
        </w:rPr>
        <w:t xml:space="preserve"> </w:t>
      </w:r>
      <w:r w:rsidRPr="001D15EE">
        <w:rPr>
          <w:rFonts w:asciiTheme="minorHAnsi" w:eastAsia="Calibri" w:hAnsiTheme="minorHAnsi" w:cstheme="minorHAnsi"/>
          <w:sz w:val="22"/>
          <w:szCs w:val="22"/>
        </w:rPr>
        <w:t xml:space="preserve">Challenge must be ‘prompt, and in any event, within three months’ of the decision under challenge. </w:t>
      </w:r>
    </w:p>
    <w:p w14:paraId="40832A49" w14:textId="4E5CBEE6" w:rsidR="008D6508" w:rsidRPr="001D15EE" w:rsidRDefault="007D36E2" w:rsidP="000F0967">
      <w:pPr>
        <w:spacing w:after="200" w:line="276" w:lineRule="auto"/>
        <w:ind w:firstLine="720"/>
        <w:jc w:val="both"/>
        <w:rPr>
          <w:rFonts w:asciiTheme="minorHAnsi" w:eastAsia="Calibri" w:hAnsiTheme="minorHAnsi" w:cstheme="minorHAnsi"/>
          <w:color w:val="212121"/>
          <w:sz w:val="22"/>
          <w:szCs w:val="22"/>
        </w:rPr>
      </w:pPr>
      <w:r w:rsidRPr="001D15EE">
        <w:rPr>
          <w:rFonts w:asciiTheme="minorHAnsi" w:eastAsia="Calibri" w:hAnsiTheme="minorHAnsi" w:cstheme="minorHAnsi"/>
          <w:color w:val="212121"/>
          <w:sz w:val="22"/>
          <w:szCs w:val="22"/>
        </w:rPr>
        <w:t xml:space="preserve">Judges undertaking judicial review only have authority to consider </w:t>
      </w:r>
      <w:r w:rsidR="00E13F49">
        <w:rPr>
          <w:rFonts w:asciiTheme="minorHAnsi" w:eastAsia="Calibri" w:hAnsiTheme="minorHAnsi" w:cstheme="minorHAnsi"/>
          <w:color w:val="212121"/>
          <w:sz w:val="22"/>
          <w:szCs w:val="22"/>
        </w:rPr>
        <w:t>an error of law</w:t>
      </w:r>
      <w:r w:rsidRPr="001D15EE">
        <w:rPr>
          <w:rFonts w:asciiTheme="minorHAnsi" w:eastAsia="Calibri" w:hAnsiTheme="minorHAnsi" w:cstheme="minorHAnsi"/>
          <w:color w:val="212121"/>
          <w:sz w:val="22"/>
          <w:szCs w:val="22"/>
        </w:rPr>
        <w:t xml:space="preserve"> identified by the applicant.</w:t>
      </w:r>
      <w:r w:rsidR="0007213D" w:rsidRPr="001D15EE">
        <w:rPr>
          <w:rStyle w:val="FootnoteReference"/>
          <w:rFonts w:asciiTheme="minorHAnsi" w:eastAsia="Calibri" w:hAnsiTheme="minorHAnsi" w:cstheme="minorHAnsi"/>
          <w:color w:val="212121"/>
          <w:sz w:val="22"/>
          <w:szCs w:val="22"/>
        </w:rPr>
        <w:footnoteReference w:id="73"/>
      </w:r>
      <w:r w:rsidRPr="001D15EE">
        <w:rPr>
          <w:rFonts w:asciiTheme="minorHAnsi" w:eastAsia="Calibri" w:hAnsiTheme="minorHAnsi" w:cstheme="minorHAnsi"/>
          <w:color w:val="212121"/>
          <w:sz w:val="22"/>
          <w:szCs w:val="22"/>
        </w:rPr>
        <w:t xml:space="preserve"> The grounds for judicial review may be amended up to the grant of permission, but can then be amended only with the permission of the judge.</w:t>
      </w:r>
      <w:r w:rsidR="00896DDA" w:rsidRPr="001D15EE">
        <w:rPr>
          <w:rStyle w:val="FootnoteReference"/>
          <w:rFonts w:asciiTheme="minorHAnsi" w:eastAsia="Calibri" w:hAnsiTheme="minorHAnsi" w:cstheme="minorHAnsi"/>
          <w:color w:val="212121"/>
          <w:sz w:val="22"/>
          <w:szCs w:val="22"/>
        </w:rPr>
        <w:footnoteReference w:id="74"/>
      </w:r>
      <w:r w:rsidR="00896DDA" w:rsidRPr="001D15EE">
        <w:rPr>
          <w:rFonts w:asciiTheme="minorHAnsi" w:eastAsia="Calibri" w:hAnsiTheme="minorHAnsi" w:cstheme="minorHAnsi"/>
          <w:color w:val="212121"/>
          <w:sz w:val="22"/>
          <w:szCs w:val="22"/>
        </w:rPr>
        <w:t xml:space="preserve"> </w:t>
      </w:r>
      <w:r w:rsidR="00001706" w:rsidRPr="001D15EE">
        <w:rPr>
          <w:rFonts w:asciiTheme="minorHAnsi" w:eastAsia="Calibri" w:hAnsiTheme="minorHAnsi" w:cstheme="minorHAnsi"/>
          <w:color w:val="212121"/>
          <w:sz w:val="22"/>
          <w:szCs w:val="22"/>
        </w:rPr>
        <w:t xml:space="preserve">The High Court thus does not review the detention measure </w:t>
      </w:r>
      <w:r w:rsidR="00001706" w:rsidRPr="001D15EE">
        <w:rPr>
          <w:rFonts w:asciiTheme="minorHAnsi" w:eastAsia="Calibri" w:hAnsiTheme="minorHAnsi" w:cstheme="minorHAnsi"/>
          <w:i/>
          <w:iCs/>
          <w:color w:val="212121"/>
          <w:sz w:val="22"/>
          <w:szCs w:val="22"/>
        </w:rPr>
        <w:t>ex officio</w:t>
      </w:r>
      <w:r w:rsidR="00001706" w:rsidRPr="001D15EE">
        <w:rPr>
          <w:rFonts w:asciiTheme="minorHAnsi" w:eastAsia="Calibri" w:hAnsiTheme="minorHAnsi" w:cstheme="minorHAnsi"/>
          <w:color w:val="212121"/>
          <w:sz w:val="22"/>
          <w:szCs w:val="22"/>
        </w:rPr>
        <w:t xml:space="preserve">. </w:t>
      </w:r>
      <w:r w:rsidR="00896DDA" w:rsidRPr="001D15EE">
        <w:rPr>
          <w:rFonts w:asciiTheme="minorHAnsi" w:eastAsia="Calibri" w:hAnsiTheme="minorHAnsi" w:cstheme="minorHAnsi"/>
          <w:color w:val="212121"/>
          <w:sz w:val="22"/>
          <w:szCs w:val="22"/>
        </w:rPr>
        <w:t>In the review of the detention measure, the High Court applies the Wednesbury principles. This means that t</w:t>
      </w:r>
      <w:r w:rsidRPr="001D15EE">
        <w:rPr>
          <w:rFonts w:asciiTheme="minorHAnsi" w:eastAsia="Calibri" w:hAnsiTheme="minorHAnsi" w:cstheme="minorHAnsi"/>
          <w:color w:val="212121"/>
          <w:sz w:val="22"/>
          <w:szCs w:val="22"/>
        </w:rPr>
        <w:t xml:space="preserve">he High Court </w:t>
      </w:r>
      <w:r w:rsidR="00896DDA" w:rsidRPr="001D15EE">
        <w:rPr>
          <w:rFonts w:asciiTheme="minorHAnsi" w:eastAsia="Calibri" w:hAnsiTheme="minorHAnsi" w:cstheme="minorHAnsi"/>
          <w:color w:val="212121"/>
          <w:sz w:val="22"/>
          <w:szCs w:val="22"/>
        </w:rPr>
        <w:t xml:space="preserve">may only </w:t>
      </w:r>
      <w:r w:rsidRPr="001D15EE">
        <w:rPr>
          <w:rFonts w:asciiTheme="minorHAnsi" w:eastAsia="Calibri" w:hAnsiTheme="minorHAnsi" w:cstheme="minorHAnsi"/>
          <w:color w:val="212121"/>
          <w:sz w:val="22"/>
          <w:szCs w:val="22"/>
        </w:rPr>
        <w:t xml:space="preserve">quash a </w:t>
      </w:r>
      <w:r w:rsidR="00896DDA" w:rsidRPr="001D15EE">
        <w:rPr>
          <w:rFonts w:asciiTheme="minorHAnsi" w:eastAsia="Calibri" w:hAnsiTheme="minorHAnsi" w:cstheme="minorHAnsi"/>
          <w:color w:val="212121"/>
          <w:sz w:val="22"/>
          <w:szCs w:val="22"/>
        </w:rPr>
        <w:t xml:space="preserve">detention </w:t>
      </w:r>
      <w:r w:rsidR="0062525A" w:rsidRPr="001D15EE">
        <w:rPr>
          <w:rFonts w:asciiTheme="minorHAnsi" w:eastAsia="Calibri" w:hAnsiTheme="minorHAnsi" w:cstheme="minorHAnsi"/>
          <w:color w:val="212121"/>
          <w:sz w:val="22"/>
          <w:szCs w:val="22"/>
        </w:rPr>
        <w:t xml:space="preserve">decision </w:t>
      </w:r>
      <w:r w:rsidR="00896DDA" w:rsidRPr="001D15EE">
        <w:rPr>
          <w:rFonts w:asciiTheme="minorHAnsi" w:eastAsia="Calibri" w:hAnsiTheme="minorHAnsi" w:cstheme="minorHAnsi"/>
          <w:color w:val="212121"/>
          <w:sz w:val="22"/>
          <w:szCs w:val="22"/>
        </w:rPr>
        <w:t>if it finds it</w:t>
      </w:r>
      <w:r w:rsidRPr="001D15EE">
        <w:rPr>
          <w:rFonts w:asciiTheme="minorHAnsi" w:eastAsia="Calibri" w:hAnsiTheme="minorHAnsi" w:cstheme="minorHAnsi"/>
          <w:color w:val="212121"/>
          <w:sz w:val="22"/>
          <w:szCs w:val="22"/>
        </w:rPr>
        <w:t xml:space="preserve"> unreasonable or perverse, meaning that no reasonable decision maker could have reached the same </w:t>
      </w:r>
      <w:r w:rsidRPr="001D15EE">
        <w:rPr>
          <w:rFonts w:asciiTheme="minorHAnsi" w:eastAsia="Calibri" w:hAnsiTheme="minorHAnsi" w:cstheme="minorHAnsi"/>
          <w:color w:val="212121"/>
          <w:sz w:val="22"/>
          <w:szCs w:val="22"/>
        </w:rPr>
        <w:lastRenderedPageBreak/>
        <w:t>decision on the same</w:t>
      </w:r>
      <w:r w:rsidR="00E13F49">
        <w:rPr>
          <w:rFonts w:asciiTheme="minorHAnsi" w:eastAsia="Calibri" w:hAnsiTheme="minorHAnsi" w:cstheme="minorHAnsi"/>
          <w:color w:val="212121"/>
          <w:sz w:val="22"/>
          <w:szCs w:val="22"/>
        </w:rPr>
        <w:t xml:space="preserve"> available</w:t>
      </w:r>
      <w:r w:rsidRPr="001D15EE">
        <w:rPr>
          <w:rFonts w:asciiTheme="minorHAnsi" w:eastAsia="Calibri" w:hAnsiTheme="minorHAnsi" w:cstheme="minorHAnsi"/>
          <w:color w:val="212121"/>
          <w:sz w:val="22"/>
          <w:szCs w:val="22"/>
        </w:rPr>
        <w:t xml:space="preserve"> information.</w:t>
      </w:r>
      <w:r w:rsidR="00001706" w:rsidRPr="001D15EE">
        <w:rPr>
          <w:rFonts w:asciiTheme="minorHAnsi" w:eastAsia="Calibri" w:hAnsiTheme="minorHAnsi" w:cstheme="minorHAnsi"/>
          <w:color w:val="212121"/>
          <w:sz w:val="22"/>
          <w:szCs w:val="22"/>
          <w:vertAlign w:val="superscript"/>
        </w:rPr>
        <w:t xml:space="preserve"> </w:t>
      </w:r>
      <w:r w:rsidR="00001706" w:rsidRPr="001D15EE">
        <w:rPr>
          <w:rFonts w:asciiTheme="minorHAnsi" w:eastAsia="Calibri" w:hAnsiTheme="minorHAnsi" w:cstheme="minorHAnsi"/>
          <w:color w:val="212121"/>
          <w:sz w:val="22"/>
          <w:szCs w:val="22"/>
          <w:vertAlign w:val="superscript"/>
        </w:rPr>
        <w:footnoteReference w:id="75"/>
      </w:r>
      <w:r w:rsidR="00896DDA" w:rsidRPr="001D15EE">
        <w:rPr>
          <w:rFonts w:asciiTheme="minorHAnsi" w:eastAsia="Calibri" w:hAnsiTheme="minorHAnsi" w:cstheme="minorHAnsi"/>
          <w:color w:val="212121"/>
          <w:sz w:val="22"/>
          <w:szCs w:val="22"/>
        </w:rPr>
        <w:t xml:space="preserve"> </w:t>
      </w:r>
      <w:r w:rsidRPr="001D15EE">
        <w:rPr>
          <w:rFonts w:asciiTheme="minorHAnsi" w:eastAsia="Calibri" w:hAnsiTheme="minorHAnsi" w:cstheme="minorHAnsi"/>
          <w:sz w:val="22"/>
          <w:szCs w:val="22"/>
        </w:rPr>
        <w:t>If detention is found to be unlawful following judicial review, the High Court has the power to order an appropriate remedy including release and/or pecuniary damages. It is not under a duty to order the release of the applicant, nor is the Secretary of State prevented from making a new decision in favour of detention.</w:t>
      </w:r>
    </w:p>
    <w:p w14:paraId="493C4903" w14:textId="59C5E6B6" w:rsidR="0000161C" w:rsidRPr="001D15EE" w:rsidRDefault="006C1D9A" w:rsidP="007F72D6">
      <w:pPr>
        <w:pStyle w:val="Heading2"/>
        <w:spacing w:line="276" w:lineRule="auto"/>
        <w:jc w:val="both"/>
        <w:rPr>
          <w:rFonts w:asciiTheme="minorHAnsi" w:hAnsiTheme="minorHAnsi" w:cstheme="minorHAnsi"/>
          <w:sz w:val="22"/>
          <w:szCs w:val="22"/>
        </w:rPr>
      </w:pPr>
      <w:bookmarkStart w:id="24" w:name="_Toc66828032"/>
      <w:r w:rsidRPr="001D15EE">
        <w:rPr>
          <w:rFonts w:asciiTheme="minorHAnsi" w:hAnsiTheme="minorHAnsi" w:cstheme="minorHAnsi"/>
          <w:sz w:val="22"/>
          <w:szCs w:val="22"/>
        </w:rPr>
        <w:t>3.</w:t>
      </w:r>
      <w:r w:rsidR="000F0967">
        <w:rPr>
          <w:rFonts w:asciiTheme="minorHAnsi" w:hAnsiTheme="minorHAnsi" w:cstheme="minorHAnsi"/>
          <w:sz w:val="22"/>
          <w:szCs w:val="22"/>
        </w:rPr>
        <w:t>2</w:t>
      </w:r>
      <w:r w:rsidRPr="001D15EE">
        <w:rPr>
          <w:rFonts w:asciiTheme="minorHAnsi" w:hAnsiTheme="minorHAnsi" w:cstheme="minorHAnsi"/>
          <w:sz w:val="22"/>
          <w:szCs w:val="22"/>
        </w:rPr>
        <w:t xml:space="preserve"> </w:t>
      </w:r>
      <w:r w:rsidR="0034590E">
        <w:rPr>
          <w:rFonts w:asciiTheme="minorHAnsi" w:hAnsiTheme="minorHAnsi" w:cstheme="minorHAnsi"/>
          <w:sz w:val="22"/>
          <w:szCs w:val="22"/>
        </w:rPr>
        <w:t xml:space="preserve">Austria and Germany: application of </w:t>
      </w:r>
      <w:r w:rsidR="0000161C" w:rsidRPr="0034590E">
        <w:rPr>
          <w:rFonts w:asciiTheme="minorHAnsi" w:hAnsiTheme="minorHAnsi" w:cstheme="minorHAnsi"/>
          <w:i/>
          <w:iCs/>
          <w:sz w:val="22"/>
          <w:szCs w:val="22"/>
        </w:rPr>
        <w:t>ex officio</w:t>
      </w:r>
      <w:r w:rsidR="0000161C" w:rsidRPr="001D15EE">
        <w:rPr>
          <w:rFonts w:asciiTheme="minorHAnsi" w:hAnsiTheme="minorHAnsi" w:cstheme="minorHAnsi"/>
          <w:sz w:val="22"/>
          <w:szCs w:val="22"/>
        </w:rPr>
        <w:t xml:space="preserve"> review</w:t>
      </w:r>
      <w:bookmarkEnd w:id="24"/>
    </w:p>
    <w:p w14:paraId="4F11044B" w14:textId="4D9A4C38" w:rsidR="0000161C" w:rsidRPr="001D15EE" w:rsidRDefault="0000161C" w:rsidP="007F72D6">
      <w:pPr>
        <w:pStyle w:val="Heading2"/>
        <w:spacing w:line="276" w:lineRule="auto"/>
        <w:jc w:val="both"/>
        <w:rPr>
          <w:rFonts w:asciiTheme="minorHAnsi" w:hAnsiTheme="minorHAnsi" w:cstheme="minorHAnsi"/>
          <w:sz w:val="22"/>
          <w:szCs w:val="22"/>
        </w:rPr>
      </w:pPr>
    </w:p>
    <w:p w14:paraId="336AD217" w14:textId="4DBE3DFD" w:rsidR="009B0D26" w:rsidRPr="001D15EE" w:rsidRDefault="009B0D26" w:rsidP="007F72D6">
      <w:pPr>
        <w:spacing w:line="276" w:lineRule="auto"/>
        <w:jc w:val="both"/>
        <w:rPr>
          <w:rFonts w:asciiTheme="minorHAnsi" w:hAnsiTheme="minorHAnsi" w:cstheme="minorHAnsi"/>
          <w:sz w:val="22"/>
          <w:szCs w:val="22"/>
        </w:rPr>
      </w:pPr>
      <w:r w:rsidRPr="001D15EE">
        <w:rPr>
          <w:rFonts w:asciiTheme="minorHAnsi" w:hAnsiTheme="minorHAnsi" w:cstheme="minorHAnsi"/>
          <w:sz w:val="22"/>
          <w:szCs w:val="22"/>
        </w:rPr>
        <w:t xml:space="preserve">In this section, we will discuss the legal systems of Austria and Germany. In both countries the judge is required to carry out an </w:t>
      </w:r>
      <w:r w:rsidRPr="001D15EE">
        <w:rPr>
          <w:rFonts w:asciiTheme="minorHAnsi" w:hAnsiTheme="minorHAnsi" w:cstheme="minorHAnsi"/>
          <w:i/>
          <w:sz w:val="22"/>
          <w:szCs w:val="22"/>
        </w:rPr>
        <w:t>ex officio</w:t>
      </w:r>
      <w:r w:rsidRPr="001D15EE">
        <w:rPr>
          <w:rFonts w:asciiTheme="minorHAnsi" w:hAnsiTheme="minorHAnsi" w:cstheme="minorHAnsi"/>
          <w:sz w:val="22"/>
          <w:szCs w:val="22"/>
        </w:rPr>
        <w:t xml:space="preserve"> examination or review of the lawfulness of the detention measure. In Austria the judge </w:t>
      </w:r>
      <w:r w:rsidR="0064788D">
        <w:rPr>
          <w:rFonts w:asciiTheme="minorHAnsi" w:hAnsiTheme="minorHAnsi" w:cstheme="minorHAnsi"/>
          <w:sz w:val="22"/>
          <w:szCs w:val="22"/>
        </w:rPr>
        <w:t>o</w:t>
      </w:r>
      <w:r w:rsidRPr="001D15EE">
        <w:rPr>
          <w:rFonts w:asciiTheme="minorHAnsi" w:hAnsiTheme="minorHAnsi" w:cstheme="minorHAnsi"/>
          <w:sz w:val="22"/>
          <w:szCs w:val="22"/>
        </w:rPr>
        <w:t xml:space="preserve">nly </w:t>
      </w:r>
      <w:r w:rsidR="0064788D">
        <w:rPr>
          <w:rFonts w:asciiTheme="minorHAnsi" w:hAnsiTheme="minorHAnsi" w:cstheme="minorHAnsi"/>
          <w:sz w:val="22"/>
          <w:szCs w:val="22"/>
        </w:rPr>
        <w:t>conducts</w:t>
      </w:r>
      <w:r w:rsidRPr="001D15EE">
        <w:rPr>
          <w:rFonts w:asciiTheme="minorHAnsi" w:hAnsiTheme="minorHAnsi" w:cstheme="minorHAnsi"/>
          <w:sz w:val="22"/>
          <w:szCs w:val="22"/>
        </w:rPr>
        <w:t xml:space="preserve"> an </w:t>
      </w:r>
      <w:r w:rsidRPr="001D15EE">
        <w:rPr>
          <w:rFonts w:asciiTheme="minorHAnsi" w:hAnsiTheme="minorHAnsi" w:cstheme="minorHAnsi"/>
          <w:i/>
          <w:sz w:val="22"/>
          <w:szCs w:val="22"/>
        </w:rPr>
        <w:t>ex officio</w:t>
      </w:r>
      <w:r w:rsidRPr="001D15EE">
        <w:rPr>
          <w:rFonts w:asciiTheme="minorHAnsi" w:hAnsiTheme="minorHAnsi" w:cstheme="minorHAnsi"/>
          <w:sz w:val="22"/>
          <w:szCs w:val="22"/>
        </w:rPr>
        <w:t xml:space="preserve"> review of the continuation of the detention measure. In Germany the civil judge orders and prolongs the detention measure on the request of the administrative authorities. They carry out a full </w:t>
      </w:r>
      <w:r w:rsidRPr="001D15EE">
        <w:rPr>
          <w:rFonts w:asciiTheme="minorHAnsi" w:hAnsiTheme="minorHAnsi" w:cstheme="minorHAnsi"/>
          <w:i/>
          <w:sz w:val="22"/>
          <w:szCs w:val="22"/>
        </w:rPr>
        <w:t>ex officio</w:t>
      </w:r>
      <w:r w:rsidRPr="001D15EE">
        <w:rPr>
          <w:rFonts w:asciiTheme="minorHAnsi" w:hAnsiTheme="minorHAnsi" w:cstheme="minorHAnsi"/>
          <w:sz w:val="22"/>
          <w:szCs w:val="22"/>
        </w:rPr>
        <w:t xml:space="preserve"> examination of the lawfulness of the detention.</w:t>
      </w:r>
      <w:r w:rsidR="00341110">
        <w:rPr>
          <w:rFonts w:asciiTheme="minorHAnsi" w:hAnsiTheme="minorHAnsi" w:cstheme="minorHAnsi"/>
          <w:sz w:val="22"/>
          <w:szCs w:val="22"/>
        </w:rPr>
        <w:t xml:space="preserve"> </w:t>
      </w:r>
    </w:p>
    <w:p w14:paraId="4CC516C8" w14:textId="77777777" w:rsidR="009B0D26" w:rsidRPr="001D15EE" w:rsidRDefault="009B0D26" w:rsidP="007F72D6">
      <w:pPr>
        <w:spacing w:line="276" w:lineRule="auto"/>
        <w:rPr>
          <w:rFonts w:asciiTheme="minorHAnsi" w:hAnsiTheme="minorHAnsi" w:cstheme="minorHAnsi"/>
        </w:rPr>
      </w:pPr>
    </w:p>
    <w:p w14:paraId="7A289EC4" w14:textId="1EBF3F7B" w:rsidR="0000161C" w:rsidRPr="001D15EE" w:rsidRDefault="0000161C" w:rsidP="007F72D6">
      <w:pPr>
        <w:pStyle w:val="Heading3"/>
        <w:spacing w:line="276" w:lineRule="auto"/>
        <w:rPr>
          <w:rFonts w:asciiTheme="minorHAnsi" w:hAnsiTheme="minorHAnsi" w:cstheme="minorHAnsi"/>
          <w:b/>
          <w:noProof/>
          <w:sz w:val="22"/>
          <w:szCs w:val="22"/>
        </w:rPr>
      </w:pPr>
      <w:bookmarkStart w:id="25" w:name="_Toc66828033"/>
      <w:r w:rsidRPr="001D15EE">
        <w:rPr>
          <w:rFonts w:asciiTheme="minorHAnsi" w:hAnsiTheme="minorHAnsi" w:cstheme="minorHAnsi"/>
          <w:b/>
          <w:iCs/>
          <w:noProof/>
          <w:sz w:val="22"/>
          <w:szCs w:val="22"/>
        </w:rPr>
        <w:t>3.</w:t>
      </w:r>
      <w:r w:rsidR="000F0967">
        <w:rPr>
          <w:rFonts w:asciiTheme="minorHAnsi" w:hAnsiTheme="minorHAnsi" w:cstheme="minorHAnsi"/>
          <w:b/>
          <w:iCs/>
          <w:noProof/>
          <w:sz w:val="22"/>
          <w:szCs w:val="22"/>
        </w:rPr>
        <w:t>2</w:t>
      </w:r>
      <w:r w:rsidRPr="001D15EE">
        <w:rPr>
          <w:rFonts w:asciiTheme="minorHAnsi" w:hAnsiTheme="minorHAnsi" w:cstheme="minorHAnsi"/>
          <w:b/>
          <w:iCs/>
          <w:noProof/>
          <w:sz w:val="22"/>
          <w:szCs w:val="22"/>
        </w:rPr>
        <w:t xml:space="preserve">.1 Austria: forward looking </w:t>
      </w:r>
      <w:r w:rsidRPr="001D15EE">
        <w:rPr>
          <w:rFonts w:asciiTheme="minorHAnsi" w:hAnsiTheme="minorHAnsi" w:cstheme="minorHAnsi"/>
          <w:b/>
          <w:i/>
          <w:iCs/>
          <w:noProof/>
          <w:sz w:val="22"/>
          <w:szCs w:val="22"/>
        </w:rPr>
        <w:t>ex officio</w:t>
      </w:r>
      <w:r w:rsidRPr="001D15EE">
        <w:rPr>
          <w:rFonts w:asciiTheme="minorHAnsi" w:hAnsiTheme="minorHAnsi" w:cstheme="minorHAnsi"/>
          <w:b/>
          <w:noProof/>
          <w:sz w:val="22"/>
          <w:szCs w:val="22"/>
        </w:rPr>
        <w:t xml:space="preserve"> review</w:t>
      </w:r>
      <w:bookmarkEnd w:id="25"/>
      <w:r w:rsidRPr="001D15EE">
        <w:rPr>
          <w:rFonts w:asciiTheme="minorHAnsi" w:hAnsiTheme="minorHAnsi" w:cstheme="minorHAnsi"/>
          <w:b/>
          <w:noProof/>
          <w:sz w:val="22"/>
          <w:szCs w:val="22"/>
        </w:rPr>
        <w:t xml:space="preserve"> </w:t>
      </w:r>
    </w:p>
    <w:p w14:paraId="668AE61C" w14:textId="056EE57C" w:rsidR="0000161C" w:rsidRPr="001D15EE" w:rsidRDefault="0000161C" w:rsidP="007F72D6">
      <w:pPr>
        <w:spacing w:line="276" w:lineRule="auto"/>
        <w:rPr>
          <w:rFonts w:asciiTheme="minorHAnsi" w:hAnsiTheme="minorHAnsi" w:cstheme="minorHAnsi"/>
        </w:rPr>
      </w:pPr>
    </w:p>
    <w:p w14:paraId="4C75D11A" w14:textId="0CCF286C" w:rsidR="009575BB" w:rsidRPr="00916826" w:rsidRDefault="009575BB" w:rsidP="007F72D6">
      <w:pPr>
        <w:spacing w:line="276" w:lineRule="auto"/>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 xml:space="preserve">In Austria, the </w:t>
      </w:r>
      <w:r w:rsidR="00E72821" w:rsidRPr="00916826">
        <w:rPr>
          <w:rFonts w:asciiTheme="minorHAnsi" w:hAnsiTheme="minorHAnsi" w:cstheme="minorHAnsi"/>
          <w:sz w:val="22"/>
          <w:szCs w:val="22"/>
        </w:rPr>
        <w:t>Federal Migration</w:t>
      </w:r>
      <w:r w:rsidRPr="00916826">
        <w:rPr>
          <w:rFonts w:asciiTheme="minorHAnsi" w:eastAsia="Calibri" w:hAnsiTheme="minorHAnsi" w:cstheme="minorHAnsi"/>
          <w:sz w:val="22"/>
          <w:szCs w:val="22"/>
        </w:rPr>
        <w:t xml:space="preserve"> </w:t>
      </w:r>
      <w:r w:rsidR="00E72821" w:rsidRPr="00916826">
        <w:rPr>
          <w:rFonts w:asciiTheme="minorHAnsi" w:eastAsia="Calibri" w:hAnsiTheme="minorHAnsi" w:cstheme="minorHAnsi"/>
          <w:sz w:val="22"/>
          <w:szCs w:val="22"/>
        </w:rPr>
        <w:t xml:space="preserve">and Asylum </w:t>
      </w:r>
      <w:r w:rsidRPr="00916826">
        <w:rPr>
          <w:rFonts w:asciiTheme="minorHAnsi" w:eastAsia="Calibri" w:hAnsiTheme="minorHAnsi" w:cstheme="minorHAnsi"/>
          <w:sz w:val="22"/>
          <w:szCs w:val="22"/>
        </w:rPr>
        <w:t xml:space="preserve">Office (henceforth: </w:t>
      </w:r>
      <w:r w:rsidR="0064788D">
        <w:rPr>
          <w:rFonts w:asciiTheme="minorHAnsi" w:eastAsia="Calibri" w:hAnsiTheme="minorHAnsi" w:cstheme="minorHAnsi"/>
          <w:sz w:val="22"/>
          <w:szCs w:val="22"/>
        </w:rPr>
        <w:t xml:space="preserve">the </w:t>
      </w:r>
      <w:r w:rsidRPr="00916826">
        <w:rPr>
          <w:rFonts w:asciiTheme="minorHAnsi" w:eastAsia="Calibri" w:hAnsiTheme="minorHAnsi" w:cstheme="minorHAnsi"/>
          <w:sz w:val="22"/>
          <w:szCs w:val="22"/>
        </w:rPr>
        <w:t>BFA)</w:t>
      </w:r>
      <w:r w:rsidR="0064788D" w:rsidRPr="00916826">
        <w:rPr>
          <w:rStyle w:val="FootnoteReference"/>
          <w:rFonts w:asciiTheme="minorHAnsi" w:eastAsia="Calibri" w:hAnsiTheme="minorHAnsi" w:cstheme="minorHAnsi"/>
          <w:sz w:val="22"/>
          <w:szCs w:val="22"/>
        </w:rPr>
        <w:footnoteReference w:id="76"/>
      </w:r>
      <w:r w:rsidRPr="00916826">
        <w:rPr>
          <w:rFonts w:asciiTheme="minorHAnsi" w:eastAsia="Calibri" w:hAnsiTheme="minorHAnsi" w:cstheme="minorHAnsi"/>
          <w:sz w:val="22"/>
          <w:szCs w:val="22"/>
        </w:rPr>
        <w:t xml:space="preserve"> issues the detention </w:t>
      </w:r>
      <w:r w:rsidR="0064788D">
        <w:rPr>
          <w:rFonts w:asciiTheme="minorHAnsi" w:eastAsia="Calibri" w:hAnsiTheme="minorHAnsi" w:cstheme="minorHAnsi"/>
          <w:sz w:val="22"/>
          <w:szCs w:val="22"/>
        </w:rPr>
        <w:t>order</w:t>
      </w:r>
      <w:r w:rsidRPr="00916826">
        <w:rPr>
          <w:rFonts w:asciiTheme="minorHAnsi" w:eastAsia="Calibri" w:hAnsiTheme="minorHAnsi" w:cstheme="minorHAnsi"/>
          <w:sz w:val="22"/>
          <w:szCs w:val="22"/>
        </w:rPr>
        <w:t>. The BFA is required by law to check whether:</w:t>
      </w:r>
    </w:p>
    <w:p w14:paraId="5DA9AB5E" w14:textId="77777777" w:rsidR="009575BB" w:rsidRPr="00916826" w:rsidRDefault="009575BB" w:rsidP="007F72D6">
      <w:pPr>
        <w:pStyle w:val="ListParagraph"/>
        <w:numPr>
          <w:ilvl w:val="0"/>
          <w:numId w:val="14"/>
        </w:numPr>
        <w:spacing w:line="276" w:lineRule="auto"/>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 xml:space="preserve">there is a danger of absconding; </w:t>
      </w:r>
    </w:p>
    <w:p w14:paraId="4941928D" w14:textId="18068715" w:rsidR="009575BB" w:rsidRPr="00916826" w:rsidRDefault="009575BB" w:rsidP="007F72D6">
      <w:pPr>
        <w:pStyle w:val="ListParagraph"/>
        <w:numPr>
          <w:ilvl w:val="0"/>
          <w:numId w:val="14"/>
        </w:numPr>
        <w:spacing w:line="276" w:lineRule="auto"/>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the execution of the measure is possible within the maximum duration of detention</w:t>
      </w:r>
      <w:r w:rsidR="00CA3F74" w:rsidRPr="00916826">
        <w:rPr>
          <w:rFonts w:asciiTheme="minorHAnsi" w:eastAsia="Calibri" w:hAnsiTheme="minorHAnsi" w:cstheme="minorHAnsi"/>
          <w:sz w:val="22"/>
          <w:szCs w:val="22"/>
        </w:rPr>
        <w:t>;</w:t>
      </w:r>
      <w:r w:rsidRPr="00916826">
        <w:rPr>
          <w:rFonts w:asciiTheme="minorHAnsi" w:eastAsia="Calibri" w:hAnsiTheme="minorHAnsi" w:cstheme="minorHAnsi"/>
          <w:sz w:val="22"/>
          <w:szCs w:val="22"/>
          <w:vertAlign w:val="superscript"/>
        </w:rPr>
        <w:footnoteReference w:id="77"/>
      </w:r>
      <w:r w:rsidRPr="00916826">
        <w:rPr>
          <w:rFonts w:asciiTheme="minorHAnsi" w:eastAsia="Calibri" w:hAnsiTheme="minorHAnsi" w:cstheme="minorHAnsi"/>
          <w:sz w:val="22"/>
          <w:szCs w:val="22"/>
        </w:rPr>
        <w:t xml:space="preserve"> </w:t>
      </w:r>
    </w:p>
    <w:p w14:paraId="206490EF" w14:textId="024E74C1" w:rsidR="009575BB" w:rsidRPr="00916826" w:rsidRDefault="009575BB" w:rsidP="007F72D6">
      <w:pPr>
        <w:pStyle w:val="ListParagraph"/>
        <w:numPr>
          <w:ilvl w:val="0"/>
          <w:numId w:val="14"/>
        </w:numPr>
        <w:spacing w:line="276" w:lineRule="auto"/>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the personal circumstances of the applicant allow for detention (</w:t>
      </w:r>
      <w:r w:rsidRPr="00916826">
        <w:rPr>
          <w:rFonts w:asciiTheme="minorHAnsi" w:eastAsia="Calibri" w:hAnsiTheme="minorHAnsi" w:cstheme="minorHAnsi"/>
          <w:i/>
          <w:sz w:val="22"/>
          <w:szCs w:val="22"/>
        </w:rPr>
        <w:t>commensurability</w:t>
      </w:r>
      <w:r w:rsidRPr="00916826">
        <w:rPr>
          <w:rFonts w:asciiTheme="minorHAnsi" w:eastAsia="Calibri" w:hAnsiTheme="minorHAnsi" w:cstheme="minorHAnsi"/>
          <w:sz w:val="22"/>
          <w:szCs w:val="22"/>
        </w:rPr>
        <w:t>); and</w:t>
      </w:r>
    </w:p>
    <w:p w14:paraId="04ABCAC1" w14:textId="6E08C039" w:rsidR="009575BB" w:rsidRPr="00916826" w:rsidRDefault="009575BB" w:rsidP="007F72D6">
      <w:pPr>
        <w:pStyle w:val="ListParagraph"/>
        <w:numPr>
          <w:ilvl w:val="0"/>
          <w:numId w:val="14"/>
        </w:numPr>
        <w:spacing w:line="276" w:lineRule="auto"/>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there are less coercive measures that could ensure deportation.</w:t>
      </w:r>
      <w:r w:rsidR="00663149">
        <w:rPr>
          <w:rStyle w:val="FootnoteReference"/>
          <w:rFonts w:asciiTheme="minorHAnsi" w:eastAsia="Calibri" w:hAnsiTheme="minorHAnsi" w:cstheme="minorHAnsi"/>
          <w:sz w:val="22"/>
          <w:szCs w:val="22"/>
        </w:rPr>
        <w:footnoteReference w:id="78"/>
      </w:r>
      <w:r w:rsidRPr="00916826">
        <w:rPr>
          <w:rFonts w:asciiTheme="minorHAnsi" w:eastAsia="Calibri" w:hAnsiTheme="minorHAnsi" w:cstheme="minorHAnsi"/>
          <w:sz w:val="22"/>
          <w:szCs w:val="22"/>
        </w:rPr>
        <w:t xml:space="preserve"> </w:t>
      </w:r>
    </w:p>
    <w:p w14:paraId="5D87ED5D" w14:textId="77777777" w:rsidR="009575BB" w:rsidRPr="00916826" w:rsidRDefault="009575BB" w:rsidP="007F72D6">
      <w:pPr>
        <w:spacing w:line="276" w:lineRule="auto"/>
        <w:jc w:val="both"/>
        <w:rPr>
          <w:rFonts w:asciiTheme="minorHAnsi" w:eastAsia="Calibri" w:hAnsiTheme="minorHAnsi" w:cstheme="minorHAnsi"/>
          <w:sz w:val="22"/>
          <w:szCs w:val="22"/>
        </w:rPr>
      </w:pPr>
    </w:p>
    <w:p w14:paraId="4D57A16E" w14:textId="4CABDB1A" w:rsidR="00061C35" w:rsidRPr="00916826" w:rsidRDefault="009575BB" w:rsidP="007F72D6">
      <w:pPr>
        <w:spacing w:line="276" w:lineRule="auto"/>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 xml:space="preserve">The applicant may at any moment appeal the </w:t>
      </w:r>
      <w:r w:rsidR="00061C35" w:rsidRPr="00916826">
        <w:rPr>
          <w:rFonts w:asciiTheme="minorHAnsi" w:eastAsia="Calibri" w:hAnsiTheme="minorHAnsi" w:cstheme="minorHAnsi"/>
          <w:sz w:val="22"/>
          <w:szCs w:val="22"/>
        </w:rPr>
        <w:t>‘</w:t>
      </w:r>
      <w:r w:rsidR="00061C35" w:rsidRPr="00916826">
        <w:rPr>
          <w:rFonts w:asciiTheme="minorHAnsi" w:hAnsiTheme="minorHAnsi" w:cstheme="minorHAnsi"/>
          <w:sz w:val="22"/>
          <w:szCs w:val="22"/>
        </w:rPr>
        <w:t>illegality of his arrest or custody or of an administrative decision ordering his detention pending deportation’</w:t>
      </w:r>
      <w:r w:rsidR="00E72821" w:rsidRPr="00916826">
        <w:rPr>
          <w:rStyle w:val="FootnoteReference"/>
          <w:rFonts w:asciiTheme="minorHAnsi" w:hAnsiTheme="minorHAnsi" w:cstheme="minorHAnsi"/>
          <w:sz w:val="22"/>
          <w:szCs w:val="22"/>
        </w:rPr>
        <w:footnoteReference w:id="79"/>
      </w:r>
      <w:r w:rsidRPr="00916826">
        <w:rPr>
          <w:rFonts w:asciiTheme="minorHAnsi" w:eastAsia="Calibri" w:hAnsiTheme="minorHAnsi" w:cstheme="minorHAnsi"/>
          <w:sz w:val="22"/>
          <w:szCs w:val="22"/>
        </w:rPr>
        <w:t xml:space="preserve"> to the Federal Administrative Court</w:t>
      </w:r>
      <w:r w:rsidRPr="00916826">
        <w:rPr>
          <w:rStyle w:val="FootnoteReference"/>
          <w:rFonts w:asciiTheme="minorHAnsi" w:eastAsia="Calibri" w:hAnsiTheme="minorHAnsi" w:cstheme="minorHAnsi"/>
          <w:sz w:val="22"/>
          <w:szCs w:val="22"/>
        </w:rPr>
        <w:footnoteReference w:id="80"/>
      </w:r>
      <w:r w:rsidRPr="00916826">
        <w:rPr>
          <w:rFonts w:asciiTheme="minorHAnsi" w:eastAsia="Calibri" w:hAnsiTheme="minorHAnsi" w:cstheme="minorHAnsi"/>
          <w:sz w:val="22"/>
          <w:szCs w:val="22"/>
        </w:rPr>
        <w:t xml:space="preserve"> (henceforth: </w:t>
      </w:r>
      <w:r w:rsidR="0064788D">
        <w:rPr>
          <w:rFonts w:asciiTheme="minorHAnsi" w:eastAsia="Calibri" w:hAnsiTheme="minorHAnsi" w:cstheme="minorHAnsi"/>
          <w:sz w:val="22"/>
          <w:szCs w:val="22"/>
        </w:rPr>
        <w:t xml:space="preserve">the </w:t>
      </w:r>
      <w:r w:rsidRPr="00916826">
        <w:rPr>
          <w:rFonts w:asciiTheme="minorHAnsi" w:eastAsia="Calibri" w:hAnsiTheme="minorHAnsi" w:cstheme="minorHAnsi"/>
          <w:sz w:val="22"/>
          <w:szCs w:val="22"/>
        </w:rPr>
        <w:t>BVwG)</w:t>
      </w:r>
      <w:r w:rsidR="00061C35" w:rsidRPr="00916826">
        <w:rPr>
          <w:rFonts w:asciiTheme="minorHAnsi" w:eastAsia="Calibri" w:hAnsiTheme="minorHAnsi" w:cstheme="minorHAnsi"/>
          <w:sz w:val="22"/>
          <w:szCs w:val="22"/>
        </w:rPr>
        <w:t>.</w:t>
      </w:r>
      <w:r w:rsidRPr="00916826">
        <w:rPr>
          <w:rFonts w:asciiTheme="minorHAnsi" w:eastAsia="Calibri" w:hAnsiTheme="minorHAnsi" w:cstheme="minorHAnsi"/>
          <w:sz w:val="22"/>
          <w:szCs w:val="22"/>
          <w:vertAlign w:val="superscript"/>
        </w:rPr>
        <w:footnoteReference w:id="81"/>
      </w:r>
      <w:r w:rsidR="00061C35" w:rsidRPr="00916826">
        <w:rPr>
          <w:rFonts w:asciiTheme="minorHAnsi" w:eastAsia="Calibri" w:hAnsiTheme="minorHAnsi" w:cstheme="minorHAnsi"/>
          <w:sz w:val="22"/>
          <w:szCs w:val="22"/>
        </w:rPr>
        <w:t xml:space="preserve"> The BVwG must issue a decision within a week if the person is detained or within 6 months if they have been released.</w:t>
      </w:r>
      <w:r w:rsidR="00061C35" w:rsidRPr="00916826">
        <w:rPr>
          <w:rFonts w:asciiTheme="minorHAnsi" w:eastAsia="Calibri" w:hAnsiTheme="minorHAnsi" w:cstheme="minorHAnsi"/>
          <w:sz w:val="22"/>
          <w:szCs w:val="22"/>
          <w:vertAlign w:val="superscript"/>
        </w:rPr>
        <w:footnoteReference w:id="82"/>
      </w:r>
      <w:r w:rsidR="00061C35" w:rsidRPr="00916826">
        <w:rPr>
          <w:rFonts w:asciiTheme="minorHAnsi" w:eastAsia="Calibri" w:hAnsiTheme="minorHAnsi" w:cstheme="minorHAnsi"/>
          <w:sz w:val="22"/>
          <w:szCs w:val="22"/>
        </w:rPr>
        <w:t xml:space="preserve"> </w:t>
      </w:r>
    </w:p>
    <w:p w14:paraId="035355D5" w14:textId="19312935" w:rsidR="00061C35" w:rsidRPr="00916826" w:rsidRDefault="00061C35" w:rsidP="007F72D6">
      <w:pPr>
        <w:spacing w:line="276" w:lineRule="auto"/>
        <w:ind w:firstLine="720"/>
        <w:jc w:val="both"/>
        <w:rPr>
          <w:rFonts w:asciiTheme="minorHAnsi" w:eastAsia="Calibri" w:hAnsiTheme="minorHAnsi" w:cstheme="minorHAnsi"/>
          <w:sz w:val="22"/>
          <w:szCs w:val="22"/>
        </w:rPr>
      </w:pPr>
      <w:r w:rsidRPr="00916826">
        <w:rPr>
          <w:rFonts w:asciiTheme="minorHAnsi" w:hAnsiTheme="minorHAnsi" w:cstheme="minorHAnsi"/>
          <w:sz w:val="22"/>
          <w:szCs w:val="22"/>
        </w:rPr>
        <w:t xml:space="preserve">If a TCN is </w:t>
      </w:r>
      <w:r w:rsidR="0064788D">
        <w:rPr>
          <w:rFonts w:asciiTheme="minorHAnsi" w:hAnsiTheme="minorHAnsi" w:cstheme="minorHAnsi"/>
          <w:sz w:val="22"/>
          <w:szCs w:val="22"/>
        </w:rPr>
        <w:t>detained</w:t>
      </w:r>
      <w:r w:rsidRPr="00916826">
        <w:rPr>
          <w:rFonts w:asciiTheme="minorHAnsi" w:hAnsiTheme="minorHAnsi" w:cstheme="minorHAnsi"/>
          <w:sz w:val="22"/>
          <w:szCs w:val="22"/>
        </w:rPr>
        <w:t xml:space="preserve"> for a continuous period of more than four months pending deportation, the reasonableness of his custody shall be reviewed by the </w:t>
      </w:r>
      <w:r w:rsidRPr="00916826">
        <w:rPr>
          <w:rFonts w:asciiTheme="minorHAnsi" w:eastAsia="Calibri" w:hAnsiTheme="minorHAnsi" w:cstheme="minorHAnsi"/>
          <w:sz w:val="22"/>
          <w:szCs w:val="22"/>
        </w:rPr>
        <w:t>BVwG</w:t>
      </w:r>
      <w:r w:rsidRPr="00916826">
        <w:rPr>
          <w:rFonts w:asciiTheme="minorHAnsi" w:hAnsiTheme="minorHAnsi" w:cstheme="minorHAnsi"/>
          <w:sz w:val="22"/>
          <w:szCs w:val="22"/>
        </w:rPr>
        <w:t xml:space="preserve"> after the day on which the fourth month elapses and thereafter every four weeks.</w:t>
      </w:r>
      <w:r w:rsidRPr="00916826">
        <w:rPr>
          <w:rFonts w:asciiTheme="minorHAnsi" w:eastAsia="Calibri" w:hAnsiTheme="minorHAnsi" w:cstheme="minorHAnsi"/>
          <w:sz w:val="22"/>
          <w:szCs w:val="22"/>
          <w:vertAlign w:val="superscript"/>
        </w:rPr>
        <w:footnoteReference w:id="83"/>
      </w:r>
      <w:r w:rsidR="00E72821" w:rsidRPr="00916826">
        <w:rPr>
          <w:rFonts w:asciiTheme="minorHAnsi" w:hAnsiTheme="minorHAnsi" w:cstheme="minorHAnsi"/>
          <w:sz w:val="22"/>
          <w:szCs w:val="22"/>
        </w:rPr>
        <w:t xml:space="preserve"> According to Austrian law, the appeal shall be deemed lodged </w:t>
      </w:r>
      <w:r w:rsidR="0064788D">
        <w:rPr>
          <w:rFonts w:asciiTheme="minorHAnsi" w:hAnsiTheme="minorHAnsi" w:cstheme="minorHAnsi"/>
          <w:sz w:val="22"/>
          <w:szCs w:val="22"/>
        </w:rPr>
        <w:t>on behalf of</w:t>
      </w:r>
      <w:r w:rsidR="00E72821" w:rsidRPr="00916826">
        <w:rPr>
          <w:rFonts w:asciiTheme="minorHAnsi" w:hAnsiTheme="minorHAnsi" w:cstheme="minorHAnsi"/>
          <w:sz w:val="22"/>
          <w:szCs w:val="22"/>
        </w:rPr>
        <w:t xml:space="preserve"> the detained TCN upon presentation of the administrative records. No </w:t>
      </w:r>
      <w:r w:rsidR="0095521A" w:rsidRPr="00916826">
        <w:rPr>
          <w:rFonts w:asciiTheme="minorHAnsi" w:hAnsiTheme="minorHAnsi" w:cstheme="minorHAnsi"/>
          <w:sz w:val="22"/>
          <w:szCs w:val="22"/>
        </w:rPr>
        <w:t>automatic appeal</w:t>
      </w:r>
      <w:r w:rsidR="00E72821" w:rsidRPr="00916826">
        <w:rPr>
          <w:rFonts w:asciiTheme="minorHAnsi" w:hAnsiTheme="minorHAnsi" w:cstheme="minorHAnsi"/>
          <w:sz w:val="22"/>
          <w:szCs w:val="22"/>
        </w:rPr>
        <w:t xml:space="preserve"> will take place if the applicant has already</w:t>
      </w:r>
      <w:r w:rsidR="00341110">
        <w:rPr>
          <w:rFonts w:asciiTheme="minorHAnsi" w:hAnsiTheme="minorHAnsi" w:cstheme="minorHAnsi"/>
          <w:sz w:val="22"/>
          <w:szCs w:val="22"/>
        </w:rPr>
        <w:t xml:space="preserve"> </w:t>
      </w:r>
      <w:r w:rsidR="00E72821" w:rsidRPr="00916826">
        <w:rPr>
          <w:rFonts w:asciiTheme="minorHAnsi" w:hAnsiTheme="minorHAnsi" w:cstheme="minorHAnsi"/>
          <w:sz w:val="22"/>
          <w:szCs w:val="22"/>
        </w:rPr>
        <w:t>lodged an appeal themselves.</w:t>
      </w:r>
      <w:r w:rsidR="00E72821" w:rsidRPr="00916826">
        <w:rPr>
          <w:rStyle w:val="FootnoteReference"/>
          <w:rFonts w:asciiTheme="minorHAnsi" w:hAnsiTheme="minorHAnsi" w:cstheme="minorHAnsi"/>
          <w:sz w:val="22"/>
          <w:szCs w:val="22"/>
        </w:rPr>
        <w:footnoteReference w:id="84"/>
      </w:r>
    </w:p>
    <w:p w14:paraId="22396A4C" w14:textId="67A5BE34" w:rsidR="00D91ED3" w:rsidRPr="00663149" w:rsidRDefault="009575BB" w:rsidP="000F0967">
      <w:pPr>
        <w:spacing w:line="276" w:lineRule="auto"/>
        <w:ind w:firstLine="720"/>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lastRenderedPageBreak/>
        <w:t>During an appeal</w:t>
      </w:r>
      <w:r w:rsidR="00E72821" w:rsidRPr="00916826">
        <w:rPr>
          <w:rFonts w:asciiTheme="minorHAnsi" w:eastAsia="Calibri" w:hAnsiTheme="minorHAnsi" w:cstheme="minorHAnsi"/>
          <w:sz w:val="22"/>
          <w:szCs w:val="22"/>
        </w:rPr>
        <w:t xml:space="preserve"> against a detention measure</w:t>
      </w:r>
      <w:r w:rsidRPr="00916826">
        <w:rPr>
          <w:rFonts w:asciiTheme="minorHAnsi" w:eastAsia="Calibri" w:hAnsiTheme="minorHAnsi" w:cstheme="minorHAnsi"/>
          <w:sz w:val="22"/>
          <w:szCs w:val="22"/>
        </w:rPr>
        <w:t xml:space="preserve">, the </w:t>
      </w:r>
      <w:r w:rsidR="0064788D">
        <w:rPr>
          <w:rFonts w:asciiTheme="minorHAnsi" w:eastAsia="Calibri" w:hAnsiTheme="minorHAnsi" w:cstheme="minorHAnsi"/>
          <w:sz w:val="22"/>
          <w:szCs w:val="22"/>
        </w:rPr>
        <w:t>BVw</w:t>
      </w:r>
      <w:r w:rsidR="00E72821" w:rsidRPr="00916826">
        <w:rPr>
          <w:rFonts w:asciiTheme="minorHAnsi" w:eastAsia="Calibri" w:hAnsiTheme="minorHAnsi" w:cstheme="minorHAnsi"/>
          <w:sz w:val="22"/>
          <w:szCs w:val="22"/>
        </w:rPr>
        <w:t>G</w:t>
      </w:r>
      <w:r w:rsidRPr="00916826">
        <w:rPr>
          <w:rFonts w:asciiTheme="minorHAnsi" w:eastAsia="Calibri" w:hAnsiTheme="minorHAnsi" w:cstheme="minorHAnsi"/>
          <w:sz w:val="22"/>
          <w:szCs w:val="22"/>
        </w:rPr>
        <w:t xml:space="preserve"> considers two time periods. The </w:t>
      </w:r>
      <w:r w:rsidR="00E72821" w:rsidRPr="00916826">
        <w:rPr>
          <w:rFonts w:asciiTheme="minorHAnsi" w:eastAsia="Calibri" w:hAnsiTheme="minorHAnsi" w:cstheme="minorHAnsi"/>
          <w:sz w:val="22"/>
          <w:szCs w:val="22"/>
        </w:rPr>
        <w:t xml:space="preserve">first </w:t>
      </w:r>
      <w:r w:rsidRPr="00916826">
        <w:rPr>
          <w:rFonts w:asciiTheme="minorHAnsi" w:eastAsia="Calibri" w:hAnsiTheme="minorHAnsi" w:cstheme="minorHAnsi"/>
          <w:sz w:val="22"/>
          <w:szCs w:val="22"/>
        </w:rPr>
        <w:t xml:space="preserve">period </w:t>
      </w:r>
      <w:r w:rsidR="0064788D">
        <w:rPr>
          <w:rFonts w:asciiTheme="minorHAnsi" w:eastAsia="Calibri" w:hAnsiTheme="minorHAnsi" w:cstheme="minorHAnsi"/>
          <w:sz w:val="22"/>
          <w:szCs w:val="22"/>
        </w:rPr>
        <w:t>spans from</w:t>
      </w:r>
      <w:r w:rsidRPr="00916826">
        <w:rPr>
          <w:rFonts w:asciiTheme="minorHAnsi" w:eastAsia="Calibri" w:hAnsiTheme="minorHAnsi" w:cstheme="minorHAnsi"/>
          <w:sz w:val="22"/>
          <w:szCs w:val="22"/>
        </w:rPr>
        <w:t xml:space="preserve"> the moment the person is </w:t>
      </w:r>
      <w:r w:rsidR="00E72821" w:rsidRPr="00916826">
        <w:rPr>
          <w:rFonts w:asciiTheme="minorHAnsi" w:eastAsia="Calibri" w:hAnsiTheme="minorHAnsi" w:cstheme="minorHAnsi"/>
          <w:sz w:val="22"/>
          <w:szCs w:val="22"/>
        </w:rPr>
        <w:t>taken into</w:t>
      </w:r>
      <w:r w:rsidRPr="00916826">
        <w:rPr>
          <w:rFonts w:asciiTheme="minorHAnsi" w:eastAsia="Calibri" w:hAnsiTheme="minorHAnsi" w:cstheme="minorHAnsi"/>
          <w:sz w:val="22"/>
          <w:szCs w:val="22"/>
        </w:rPr>
        <w:t xml:space="preserve"> </w:t>
      </w:r>
      <w:r w:rsidR="00E72821" w:rsidRPr="00916826">
        <w:rPr>
          <w:rFonts w:asciiTheme="minorHAnsi" w:eastAsia="Calibri" w:hAnsiTheme="minorHAnsi" w:cstheme="minorHAnsi"/>
          <w:sz w:val="22"/>
          <w:szCs w:val="22"/>
        </w:rPr>
        <w:t>until the moment t</w:t>
      </w:r>
      <w:r w:rsidRPr="00916826">
        <w:rPr>
          <w:rFonts w:asciiTheme="minorHAnsi" w:eastAsia="Calibri" w:hAnsiTheme="minorHAnsi" w:cstheme="minorHAnsi"/>
          <w:sz w:val="22"/>
          <w:szCs w:val="22"/>
        </w:rPr>
        <w:t xml:space="preserve">he </w:t>
      </w:r>
      <w:r w:rsidR="0064788D">
        <w:rPr>
          <w:rFonts w:asciiTheme="minorHAnsi" w:eastAsia="Calibri" w:hAnsiTheme="minorHAnsi" w:cstheme="minorHAnsi"/>
          <w:sz w:val="22"/>
          <w:szCs w:val="22"/>
        </w:rPr>
        <w:t xml:space="preserve">decision </w:t>
      </w:r>
      <w:r w:rsidR="00E72821" w:rsidRPr="00916826">
        <w:rPr>
          <w:rFonts w:asciiTheme="minorHAnsi" w:eastAsia="Calibri" w:hAnsiTheme="minorHAnsi" w:cstheme="minorHAnsi"/>
          <w:sz w:val="22"/>
          <w:szCs w:val="22"/>
        </w:rPr>
        <w:t>on</w:t>
      </w:r>
      <w:r w:rsidRPr="00916826">
        <w:rPr>
          <w:rFonts w:asciiTheme="minorHAnsi" w:eastAsia="Calibri" w:hAnsiTheme="minorHAnsi" w:cstheme="minorHAnsi"/>
          <w:sz w:val="22"/>
          <w:szCs w:val="22"/>
        </w:rPr>
        <w:t xml:space="preserve"> </w:t>
      </w:r>
      <w:r w:rsidR="00E72821" w:rsidRPr="00916826">
        <w:rPr>
          <w:rFonts w:asciiTheme="minorHAnsi" w:eastAsia="Calibri" w:hAnsiTheme="minorHAnsi" w:cstheme="minorHAnsi"/>
          <w:sz w:val="22"/>
          <w:szCs w:val="22"/>
        </w:rPr>
        <w:t xml:space="preserve">appeal is taken </w:t>
      </w:r>
      <w:r w:rsidRPr="00916826">
        <w:rPr>
          <w:rFonts w:asciiTheme="minorHAnsi" w:eastAsia="Calibri" w:hAnsiTheme="minorHAnsi" w:cstheme="minorHAnsi"/>
          <w:sz w:val="22"/>
          <w:szCs w:val="22"/>
        </w:rPr>
        <w:t xml:space="preserve">by the BVwG. </w:t>
      </w:r>
      <w:r w:rsidR="00D91ED3" w:rsidRPr="00916826">
        <w:rPr>
          <w:rFonts w:asciiTheme="minorHAnsi" w:eastAsia="Calibri" w:hAnsiTheme="minorHAnsi" w:cstheme="minorHAnsi"/>
          <w:sz w:val="22"/>
          <w:szCs w:val="22"/>
        </w:rPr>
        <w:t xml:space="preserve">This </w:t>
      </w:r>
      <w:r w:rsidR="006E6134" w:rsidRPr="00916826">
        <w:rPr>
          <w:rFonts w:asciiTheme="minorHAnsi" w:eastAsia="Calibri" w:hAnsiTheme="minorHAnsi" w:cstheme="minorHAnsi"/>
          <w:sz w:val="22"/>
          <w:szCs w:val="22"/>
        </w:rPr>
        <w:t>backward-looking</w:t>
      </w:r>
      <w:r w:rsidR="0064788D" w:rsidRPr="00916826">
        <w:rPr>
          <w:rFonts w:asciiTheme="minorHAnsi" w:eastAsia="Calibri" w:hAnsiTheme="minorHAnsi" w:cstheme="minorHAnsi"/>
          <w:sz w:val="22"/>
          <w:szCs w:val="22"/>
        </w:rPr>
        <w:t xml:space="preserve"> </w:t>
      </w:r>
      <w:r w:rsidR="0064788D">
        <w:rPr>
          <w:rFonts w:asciiTheme="minorHAnsi" w:eastAsia="Calibri" w:hAnsiTheme="minorHAnsi" w:cstheme="minorHAnsi"/>
          <w:sz w:val="22"/>
          <w:szCs w:val="22"/>
        </w:rPr>
        <w:t xml:space="preserve">period </w:t>
      </w:r>
      <w:r w:rsidR="00D91ED3" w:rsidRPr="00916826">
        <w:rPr>
          <w:rFonts w:asciiTheme="minorHAnsi" w:eastAsia="Calibri" w:hAnsiTheme="minorHAnsi" w:cstheme="minorHAnsi"/>
          <w:sz w:val="22"/>
          <w:szCs w:val="22"/>
        </w:rPr>
        <w:t xml:space="preserve">thus concerns the period of time the TCN has already spent in detention. The unlawfulness of this period of detention can </w:t>
      </w:r>
      <w:r w:rsidR="000E29B1" w:rsidRPr="00916826">
        <w:rPr>
          <w:rFonts w:asciiTheme="minorHAnsi" w:eastAsia="Calibri" w:hAnsiTheme="minorHAnsi" w:cstheme="minorHAnsi"/>
          <w:sz w:val="22"/>
          <w:szCs w:val="22"/>
        </w:rPr>
        <w:t xml:space="preserve">thus </w:t>
      </w:r>
      <w:r w:rsidR="00D91ED3" w:rsidRPr="00916826">
        <w:rPr>
          <w:rFonts w:asciiTheme="minorHAnsi" w:eastAsia="Calibri" w:hAnsiTheme="minorHAnsi" w:cstheme="minorHAnsi"/>
          <w:sz w:val="22"/>
          <w:szCs w:val="22"/>
        </w:rPr>
        <w:t xml:space="preserve">only lead to financial compensation for the TCN. </w:t>
      </w:r>
      <w:r w:rsidRPr="00916826">
        <w:rPr>
          <w:rFonts w:asciiTheme="minorHAnsi" w:eastAsia="Calibri" w:hAnsiTheme="minorHAnsi" w:cstheme="minorHAnsi"/>
          <w:sz w:val="22"/>
          <w:szCs w:val="22"/>
        </w:rPr>
        <w:t xml:space="preserve">The second period </w:t>
      </w:r>
      <w:r w:rsidR="0064788D">
        <w:rPr>
          <w:rFonts w:asciiTheme="minorHAnsi" w:eastAsia="Calibri" w:hAnsiTheme="minorHAnsi" w:cstheme="minorHAnsi"/>
          <w:sz w:val="22"/>
          <w:szCs w:val="22"/>
        </w:rPr>
        <w:t>begins from</w:t>
      </w:r>
      <w:r w:rsidRPr="00916826">
        <w:rPr>
          <w:rFonts w:asciiTheme="minorHAnsi" w:eastAsia="Calibri" w:hAnsiTheme="minorHAnsi" w:cstheme="minorHAnsi"/>
          <w:sz w:val="22"/>
          <w:szCs w:val="22"/>
        </w:rPr>
        <w:t xml:space="preserve"> the </w:t>
      </w:r>
      <w:r w:rsidR="00E72821" w:rsidRPr="00916826">
        <w:rPr>
          <w:rFonts w:asciiTheme="minorHAnsi" w:eastAsia="Calibri" w:hAnsiTheme="minorHAnsi" w:cstheme="minorHAnsi"/>
          <w:sz w:val="22"/>
          <w:szCs w:val="22"/>
        </w:rPr>
        <w:t>judgment of the BVwG</w:t>
      </w:r>
      <w:r w:rsidRPr="00916826">
        <w:rPr>
          <w:rFonts w:asciiTheme="minorHAnsi" w:eastAsia="Calibri" w:hAnsiTheme="minorHAnsi" w:cstheme="minorHAnsi"/>
          <w:sz w:val="22"/>
          <w:szCs w:val="22"/>
        </w:rPr>
        <w:t xml:space="preserve">. </w:t>
      </w:r>
      <w:r w:rsidR="00D91ED3" w:rsidRPr="00916826">
        <w:rPr>
          <w:rFonts w:asciiTheme="minorHAnsi" w:eastAsia="Calibri" w:hAnsiTheme="minorHAnsi" w:cstheme="minorHAnsi"/>
          <w:sz w:val="22"/>
          <w:szCs w:val="22"/>
        </w:rPr>
        <w:t xml:space="preserve">It </w:t>
      </w:r>
      <w:r w:rsidR="0064788D">
        <w:rPr>
          <w:rFonts w:asciiTheme="minorHAnsi" w:eastAsia="Calibri" w:hAnsiTheme="minorHAnsi" w:cstheme="minorHAnsi"/>
          <w:sz w:val="22"/>
          <w:szCs w:val="22"/>
        </w:rPr>
        <w:t xml:space="preserve">is </w:t>
      </w:r>
      <w:r w:rsidR="00D91ED3" w:rsidRPr="00916826">
        <w:rPr>
          <w:rFonts w:asciiTheme="minorHAnsi" w:eastAsia="Calibri" w:hAnsiTheme="minorHAnsi" w:cstheme="minorHAnsi"/>
          <w:sz w:val="22"/>
          <w:szCs w:val="22"/>
        </w:rPr>
        <w:t xml:space="preserve">thus </w:t>
      </w:r>
      <w:r w:rsidR="0064788D" w:rsidRPr="00916826">
        <w:rPr>
          <w:rFonts w:asciiTheme="minorHAnsi" w:eastAsia="Calibri" w:hAnsiTheme="minorHAnsi" w:cstheme="minorHAnsi"/>
          <w:sz w:val="22"/>
          <w:szCs w:val="22"/>
        </w:rPr>
        <w:t>forward</w:t>
      </w:r>
      <w:r w:rsidR="0064788D">
        <w:rPr>
          <w:rFonts w:asciiTheme="minorHAnsi" w:eastAsia="Calibri" w:hAnsiTheme="minorHAnsi" w:cstheme="minorHAnsi"/>
          <w:sz w:val="22"/>
          <w:szCs w:val="22"/>
        </w:rPr>
        <w:t>-</w:t>
      </w:r>
      <w:r w:rsidR="0064788D" w:rsidRPr="00916826">
        <w:rPr>
          <w:rFonts w:asciiTheme="minorHAnsi" w:eastAsia="Calibri" w:hAnsiTheme="minorHAnsi" w:cstheme="minorHAnsi"/>
          <w:sz w:val="22"/>
          <w:szCs w:val="22"/>
        </w:rPr>
        <w:t xml:space="preserve">looking </w:t>
      </w:r>
      <w:r w:rsidR="0064788D">
        <w:rPr>
          <w:rFonts w:asciiTheme="minorHAnsi" w:eastAsia="Calibri" w:hAnsiTheme="minorHAnsi" w:cstheme="minorHAnsi"/>
          <w:sz w:val="22"/>
          <w:szCs w:val="22"/>
        </w:rPr>
        <w:t xml:space="preserve">and </w:t>
      </w:r>
      <w:r w:rsidR="00D91ED3" w:rsidRPr="00916826">
        <w:rPr>
          <w:rFonts w:asciiTheme="minorHAnsi" w:eastAsia="Calibri" w:hAnsiTheme="minorHAnsi" w:cstheme="minorHAnsi"/>
          <w:sz w:val="22"/>
          <w:szCs w:val="22"/>
        </w:rPr>
        <w:t xml:space="preserve">concerns the </w:t>
      </w:r>
      <w:r w:rsidR="00D91ED3" w:rsidRPr="00663149">
        <w:rPr>
          <w:rFonts w:asciiTheme="minorHAnsi" w:eastAsia="Calibri" w:hAnsiTheme="minorHAnsi" w:cstheme="minorHAnsi"/>
          <w:sz w:val="22"/>
          <w:szCs w:val="22"/>
        </w:rPr>
        <w:t>question whether the TCN should be released.</w:t>
      </w:r>
      <w:r w:rsidR="000E29B1" w:rsidRPr="00663149">
        <w:rPr>
          <w:rFonts w:asciiTheme="minorHAnsi" w:eastAsia="Calibri" w:hAnsiTheme="minorHAnsi" w:cstheme="minorHAnsi"/>
          <w:sz w:val="22"/>
          <w:szCs w:val="22"/>
        </w:rPr>
        <w:t xml:space="preserve"> The automatic periodic judicial reviews, which take place after four months of detention and </w:t>
      </w:r>
      <w:r w:rsidR="0064788D" w:rsidRPr="00663149">
        <w:rPr>
          <w:rFonts w:asciiTheme="minorHAnsi" w:eastAsia="Calibri" w:hAnsiTheme="minorHAnsi" w:cstheme="minorHAnsi"/>
          <w:sz w:val="22"/>
          <w:szCs w:val="22"/>
        </w:rPr>
        <w:t xml:space="preserve">then </w:t>
      </w:r>
      <w:r w:rsidR="000E29B1" w:rsidRPr="00663149">
        <w:rPr>
          <w:rFonts w:asciiTheme="minorHAnsi" w:eastAsia="Calibri" w:hAnsiTheme="minorHAnsi" w:cstheme="minorHAnsi"/>
          <w:sz w:val="22"/>
          <w:szCs w:val="22"/>
        </w:rPr>
        <w:t xml:space="preserve">every four weeks, are always </w:t>
      </w:r>
      <w:r w:rsidR="00A866F6">
        <w:rPr>
          <w:rFonts w:asciiTheme="minorHAnsi" w:eastAsia="Calibri" w:hAnsiTheme="minorHAnsi" w:cstheme="minorHAnsi"/>
          <w:sz w:val="22"/>
          <w:szCs w:val="22"/>
        </w:rPr>
        <w:t xml:space="preserve">only </w:t>
      </w:r>
      <w:r w:rsidR="000E29B1" w:rsidRPr="00663149">
        <w:rPr>
          <w:rFonts w:asciiTheme="minorHAnsi" w:eastAsia="Calibri" w:hAnsiTheme="minorHAnsi" w:cstheme="minorHAnsi"/>
          <w:sz w:val="22"/>
          <w:szCs w:val="22"/>
        </w:rPr>
        <w:t>forward</w:t>
      </w:r>
      <w:r w:rsidR="0064788D" w:rsidRPr="00663149">
        <w:rPr>
          <w:rFonts w:asciiTheme="minorHAnsi" w:eastAsia="Calibri" w:hAnsiTheme="minorHAnsi" w:cstheme="minorHAnsi"/>
          <w:sz w:val="22"/>
          <w:szCs w:val="22"/>
        </w:rPr>
        <w:t>-</w:t>
      </w:r>
      <w:r w:rsidR="000E29B1" w:rsidRPr="00663149">
        <w:rPr>
          <w:rFonts w:asciiTheme="minorHAnsi" w:eastAsia="Calibri" w:hAnsiTheme="minorHAnsi" w:cstheme="minorHAnsi"/>
          <w:sz w:val="22"/>
          <w:szCs w:val="22"/>
        </w:rPr>
        <w:t>looking.</w:t>
      </w:r>
    </w:p>
    <w:p w14:paraId="04B9C2ED" w14:textId="14471D41" w:rsidR="00D91ED3" w:rsidRPr="004244EF" w:rsidRDefault="00D91ED3" w:rsidP="00663149">
      <w:pPr>
        <w:shd w:val="clear" w:color="auto" w:fill="FFFFFF"/>
        <w:spacing w:line="276" w:lineRule="auto"/>
        <w:jc w:val="both"/>
        <w:rPr>
          <w:rFonts w:asciiTheme="minorHAnsi" w:eastAsia="Calibri" w:hAnsiTheme="minorHAnsi" w:cstheme="minorHAnsi"/>
          <w:sz w:val="22"/>
          <w:szCs w:val="22"/>
        </w:rPr>
      </w:pPr>
      <w:r w:rsidRPr="00663149">
        <w:rPr>
          <w:rFonts w:asciiTheme="minorHAnsi" w:eastAsia="Calibri" w:hAnsiTheme="minorHAnsi" w:cstheme="minorHAnsi"/>
          <w:sz w:val="22"/>
          <w:szCs w:val="22"/>
        </w:rPr>
        <w:tab/>
        <w:t xml:space="preserve">The BVwG should examine the lawfulness of the detention in the </w:t>
      </w:r>
      <w:r w:rsidR="0064788D" w:rsidRPr="00663149">
        <w:rPr>
          <w:rFonts w:asciiTheme="minorHAnsi" w:eastAsia="Calibri" w:hAnsiTheme="minorHAnsi" w:cstheme="minorHAnsi"/>
          <w:sz w:val="22"/>
          <w:szCs w:val="22"/>
        </w:rPr>
        <w:t>former</w:t>
      </w:r>
      <w:r w:rsidRPr="00663149">
        <w:rPr>
          <w:rFonts w:asciiTheme="minorHAnsi" w:eastAsia="Calibri" w:hAnsiTheme="minorHAnsi" w:cstheme="minorHAnsi"/>
          <w:sz w:val="22"/>
          <w:szCs w:val="22"/>
        </w:rPr>
        <w:t xml:space="preserve"> period on the basis of the submissions of the parties. It is not allowed to examine this lawfulness </w:t>
      </w:r>
      <w:r w:rsidRPr="00663149">
        <w:rPr>
          <w:rFonts w:asciiTheme="minorHAnsi" w:eastAsia="Calibri" w:hAnsiTheme="minorHAnsi" w:cstheme="minorHAnsi"/>
          <w:i/>
          <w:sz w:val="22"/>
          <w:szCs w:val="22"/>
        </w:rPr>
        <w:t>ex officio</w:t>
      </w:r>
      <w:r w:rsidRPr="00663149">
        <w:rPr>
          <w:rFonts w:asciiTheme="minorHAnsi" w:eastAsia="Calibri" w:hAnsiTheme="minorHAnsi" w:cstheme="minorHAnsi"/>
          <w:sz w:val="22"/>
          <w:szCs w:val="22"/>
        </w:rPr>
        <w:t>.</w:t>
      </w:r>
      <w:r w:rsidR="000E29B1" w:rsidRPr="00663149">
        <w:rPr>
          <w:rStyle w:val="FootnoteReference"/>
          <w:rFonts w:asciiTheme="minorHAnsi" w:eastAsia="Calibri" w:hAnsiTheme="minorHAnsi" w:cstheme="minorHAnsi"/>
          <w:sz w:val="22"/>
          <w:szCs w:val="22"/>
        </w:rPr>
        <w:footnoteReference w:id="85"/>
      </w:r>
      <w:r w:rsidRPr="00663149">
        <w:rPr>
          <w:rFonts w:asciiTheme="minorHAnsi" w:eastAsia="Calibri" w:hAnsiTheme="minorHAnsi" w:cstheme="minorHAnsi"/>
          <w:sz w:val="22"/>
          <w:szCs w:val="22"/>
        </w:rPr>
        <w:t xml:space="preserve"> However, the BVwG has a wide power to </w:t>
      </w:r>
      <w:r w:rsidR="00BE5080" w:rsidRPr="00663149">
        <w:rPr>
          <w:rFonts w:asciiTheme="minorHAnsi" w:eastAsia="Calibri" w:hAnsiTheme="minorHAnsi" w:cstheme="minorHAnsi"/>
          <w:i/>
          <w:iCs/>
          <w:sz w:val="22"/>
          <w:szCs w:val="22"/>
        </w:rPr>
        <w:t>ex officio</w:t>
      </w:r>
      <w:r w:rsidR="00BE5080" w:rsidRPr="00663149">
        <w:rPr>
          <w:rFonts w:asciiTheme="minorHAnsi" w:eastAsia="Calibri" w:hAnsiTheme="minorHAnsi" w:cstheme="minorHAnsi"/>
          <w:sz w:val="22"/>
          <w:szCs w:val="22"/>
        </w:rPr>
        <w:t xml:space="preserve"> </w:t>
      </w:r>
      <w:r w:rsidRPr="00663149">
        <w:rPr>
          <w:rFonts w:asciiTheme="minorHAnsi" w:eastAsia="Calibri" w:hAnsiTheme="minorHAnsi" w:cstheme="minorHAnsi"/>
          <w:sz w:val="22"/>
          <w:szCs w:val="22"/>
        </w:rPr>
        <w:t>supplement the grounds submitted by the TCN.</w:t>
      </w:r>
      <w:r w:rsidR="00BE5080" w:rsidRPr="00663149">
        <w:rPr>
          <w:rStyle w:val="FootnoteReference"/>
          <w:rFonts w:asciiTheme="minorHAnsi" w:eastAsia="Calibri" w:hAnsiTheme="minorHAnsi" w:cstheme="minorHAnsi"/>
          <w:sz w:val="22"/>
          <w:szCs w:val="22"/>
        </w:rPr>
        <w:footnoteReference w:id="86"/>
      </w:r>
      <w:r w:rsidRPr="00663149">
        <w:rPr>
          <w:rFonts w:asciiTheme="minorHAnsi" w:eastAsia="Calibri" w:hAnsiTheme="minorHAnsi" w:cstheme="minorHAnsi"/>
          <w:sz w:val="22"/>
          <w:szCs w:val="22"/>
        </w:rPr>
        <w:t xml:space="preserve"> If the TCN claims that the detention is contrary to a legal provision, they do not need to raise further arguments in support of this claim. For example, </w:t>
      </w:r>
      <w:r w:rsidRPr="004244EF">
        <w:rPr>
          <w:rFonts w:asciiTheme="minorHAnsi" w:eastAsia="Calibri" w:hAnsiTheme="minorHAnsi" w:cstheme="minorHAnsi"/>
          <w:sz w:val="22"/>
          <w:szCs w:val="22"/>
        </w:rPr>
        <w:t xml:space="preserve">if the applicant simply claims that the </w:t>
      </w:r>
      <w:r w:rsidR="0095521A" w:rsidRPr="004244EF">
        <w:rPr>
          <w:rFonts w:asciiTheme="minorHAnsi" w:eastAsia="Calibri" w:hAnsiTheme="minorHAnsi" w:cstheme="minorHAnsi"/>
          <w:sz w:val="22"/>
          <w:szCs w:val="22"/>
        </w:rPr>
        <w:t>condition</w:t>
      </w:r>
      <w:r w:rsidRPr="004244EF">
        <w:rPr>
          <w:rFonts w:asciiTheme="minorHAnsi" w:eastAsia="Calibri" w:hAnsiTheme="minorHAnsi" w:cstheme="minorHAnsi"/>
          <w:sz w:val="22"/>
          <w:szCs w:val="22"/>
        </w:rPr>
        <w:t xml:space="preserve"> of commensurability is not met, this will allow the judge to review all the personal circumstances of the person concerned in this context.</w:t>
      </w:r>
      <w:r w:rsidR="000E29B1" w:rsidRPr="004244EF">
        <w:rPr>
          <w:rStyle w:val="FootnoteReference"/>
          <w:rFonts w:asciiTheme="minorHAnsi" w:eastAsia="Calibri" w:hAnsiTheme="minorHAnsi" w:cstheme="minorHAnsi"/>
          <w:sz w:val="22"/>
          <w:szCs w:val="22"/>
        </w:rPr>
        <w:footnoteReference w:id="87"/>
      </w:r>
      <w:r w:rsidRPr="004244EF">
        <w:rPr>
          <w:rFonts w:asciiTheme="minorHAnsi" w:eastAsia="Calibri" w:hAnsiTheme="minorHAnsi" w:cstheme="minorHAnsi"/>
          <w:sz w:val="22"/>
          <w:szCs w:val="22"/>
        </w:rPr>
        <w:t xml:space="preserve"> </w:t>
      </w:r>
      <w:r w:rsidR="00663149" w:rsidRPr="004244EF">
        <w:rPr>
          <w:rFonts w:asciiTheme="minorHAnsi" w:hAnsiTheme="minorHAnsi" w:cstheme="minorHAnsi"/>
          <w:sz w:val="22"/>
          <w:szCs w:val="22"/>
          <w:shd w:val="clear" w:color="auto" w:fill="FFFFFF"/>
        </w:rPr>
        <w:t>However, if - for example - the complainant claims only a certain period of time to be unlawful, the court could not look at other time periods of the detention.</w:t>
      </w:r>
      <w:r w:rsidR="00663149" w:rsidRPr="004244EF">
        <w:rPr>
          <w:rStyle w:val="FootnoteReference"/>
          <w:rFonts w:asciiTheme="minorHAnsi" w:hAnsiTheme="minorHAnsi" w:cstheme="minorHAnsi"/>
          <w:sz w:val="22"/>
          <w:szCs w:val="22"/>
          <w:shd w:val="clear" w:color="auto" w:fill="FFFFFF"/>
        </w:rPr>
        <w:footnoteReference w:id="88"/>
      </w:r>
    </w:p>
    <w:p w14:paraId="26A392A8" w14:textId="1D4F99D6" w:rsidR="009B0D26" w:rsidRPr="00916826" w:rsidRDefault="00D91ED3" w:rsidP="00663149">
      <w:pPr>
        <w:spacing w:line="276" w:lineRule="auto"/>
        <w:ind w:firstLine="720"/>
        <w:jc w:val="both"/>
        <w:rPr>
          <w:rFonts w:asciiTheme="minorHAnsi" w:eastAsia="Calibri" w:hAnsiTheme="minorHAnsi" w:cstheme="minorHAnsi"/>
          <w:sz w:val="22"/>
          <w:szCs w:val="22"/>
        </w:rPr>
      </w:pPr>
      <w:r w:rsidRPr="00663149">
        <w:rPr>
          <w:rFonts w:asciiTheme="minorHAnsi" w:eastAsia="Calibri" w:hAnsiTheme="minorHAnsi" w:cstheme="minorHAnsi"/>
          <w:sz w:val="22"/>
          <w:szCs w:val="22"/>
        </w:rPr>
        <w:t>For the second period (future of the detention),</w:t>
      </w:r>
      <w:r w:rsidR="000E29B1" w:rsidRPr="00663149">
        <w:rPr>
          <w:rFonts w:asciiTheme="minorHAnsi" w:eastAsia="Calibri" w:hAnsiTheme="minorHAnsi" w:cstheme="minorHAnsi"/>
          <w:sz w:val="22"/>
          <w:szCs w:val="22"/>
        </w:rPr>
        <w:t xml:space="preserve"> the BVwG ‘</w:t>
      </w:r>
      <w:r w:rsidR="000E29B1" w:rsidRPr="00663149">
        <w:rPr>
          <w:rFonts w:asciiTheme="minorHAnsi" w:hAnsiTheme="minorHAnsi" w:cstheme="minorHAnsi"/>
          <w:sz w:val="22"/>
          <w:szCs w:val="22"/>
        </w:rPr>
        <w:t>shall demonstrate why it is necessary and reasonable</w:t>
      </w:r>
      <w:r w:rsidR="000E29B1" w:rsidRPr="00916826">
        <w:rPr>
          <w:rFonts w:asciiTheme="minorHAnsi" w:hAnsiTheme="minorHAnsi" w:cstheme="minorHAnsi"/>
          <w:sz w:val="22"/>
          <w:szCs w:val="22"/>
        </w:rPr>
        <w:t xml:space="preserve"> to maintain the detention order in force’.</w:t>
      </w:r>
      <w:r w:rsidR="000E29B1" w:rsidRPr="00916826">
        <w:rPr>
          <w:rStyle w:val="FootnoteReference"/>
          <w:rFonts w:asciiTheme="minorHAnsi" w:hAnsiTheme="minorHAnsi" w:cstheme="minorHAnsi"/>
          <w:sz w:val="22"/>
          <w:szCs w:val="22"/>
        </w:rPr>
        <w:footnoteReference w:id="89"/>
      </w:r>
      <w:r w:rsidR="000E29B1" w:rsidRPr="00916826">
        <w:rPr>
          <w:rFonts w:asciiTheme="minorHAnsi" w:hAnsiTheme="minorHAnsi" w:cstheme="minorHAnsi"/>
          <w:sz w:val="22"/>
          <w:szCs w:val="22"/>
        </w:rPr>
        <w:t xml:space="preserve"> The </w:t>
      </w:r>
      <w:r w:rsidR="000E29B1" w:rsidRPr="00916826">
        <w:rPr>
          <w:rFonts w:asciiTheme="minorHAnsi" w:eastAsia="Calibri" w:hAnsiTheme="minorHAnsi" w:cstheme="minorHAnsi"/>
          <w:sz w:val="22"/>
          <w:szCs w:val="22"/>
        </w:rPr>
        <w:t>BVwG</w:t>
      </w:r>
      <w:r w:rsidR="000E29B1" w:rsidRPr="00916826">
        <w:rPr>
          <w:rFonts w:asciiTheme="minorHAnsi" w:hAnsiTheme="minorHAnsi" w:cstheme="minorHAnsi"/>
          <w:sz w:val="22"/>
          <w:szCs w:val="22"/>
        </w:rPr>
        <w:t xml:space="preserve"> shall ‘establish whether, at the time of its ruling, the requirements determining the continuation of the detention are satisfied and whether it is reasonable to maintain the detention order in force’.</w:t>
      </w:r>
      <w:r w:rsidR="000E29B1" w:rsidRPr="00916826">
        <w:rPr>
          <w:rStyle w:val="FootnoteReference"/>
          <w:rFonts w:asciiTheme="minorHAnsi" w:hAnsiTheme="minorHAnsi" w:cstheme="minorHAnsi"/>
          <w:sz w:val="22"/>
          <w:szCs w:val="22"/>
        </w:rPr>
        <w:footnoteReference w:id="90"/>
      </w:r>
      <w:r w:rsidR="000E29B1" w:rsidRPr="00916826">
        <w:rPr>
          <w:rFonts w:asciiTheme="minorHAnsi" w:hAnsiTheme="minorHAnsi" w:cstheme="minorHAnsi"/>
          <w:sz w:val="22"/>
          <w:szCs w:val="22"/>
        </w:rPr>
        <w:t xml:space="preserve"> This should be done on the basis of the administrative records, which the BFA should provide to the BVwG in time.</w:t>
      </w:r>
      <w:r w:rsidR="000E29B1" w:rsidRPr="00916826">
        <w:rPr>
          <w:rStyle w:val="FootnoteReference"/>
          <w:rFonts w:asciiTheme="minorHAnsi" w:hAnsiTheme="minorHAnsi" w:cstheme="minorHAnsi"/>
          <w:sz w:val="22"/>
          <w:szCs w:val="22"/>
        </w:rPr>
        <w:footnoteReference w:id="91"/>
      </w:r>
      <w:r w:rsidR="000E29B1" w:rsidRPr="00916826">
        <w:rPr>
          <w:rFonts w:asciiTheme="minorHAnsi" w:hAnsiTheme="minorHAnsi" w:cstheme="minorHAnsi"/>
          <w:sz w:val="22"/>
          <w:szCs w:val="22"/>
        </w:rPr>
        <w:t xml:space="preserve"> This seems to imply that the B</w:t>
      </w:r>
      <w:r w:rsidR="006E6134">
        <w:rPr>
          <w:rFonts w:asciiTheme="minorHAnsi" w:hAnsiTheme="minorHAnsi" w:cstheme="minorHAnsi"/>
          <w:sz w:val="22"/>
          <w:szCs w:val="22"/>
        </w:rPr>
        <w:t>Vw</w:t>
      </w:r>
      <w:r w:rsidR="000E29B1" w:rsidRPr="00916826">
        <w:rPr>
          <w:rFonts w:asciiTheme="minorHAnsi" w:hAnsiTheme="minorHAnsi" w:cstheme="minorHAnsi"/>
          <w:sz w:val="22"/>
          <w:szCs w:val="22"/>
        </w:rPr>
        <w:t xml:space="preserve">G carries out a full and </w:t>
      </w:r>
      <w:r w:rsidR="000E29B1" w:rsidRPr="00BE5080">
        <w:rPr>
          <w:rFonts w:asciiTheme="minorHAnsi" w:hAnsiTheme="minorHAnsi" w:cstheme="minorHAnsi"/>
          <w:i/>
          <w:iCs/>
          <w:sz w:val="22"/>
          <w:szCs w:val="22"/>
        </w:rPr>
        <w:t>ex officio</w:t>
      </w:r>
      <w:r w:rsidR="000E29B1" w:rsidRPr="00916826">
        <w:rPr>
          <w:rFonts w:asciiTheme="minorHAnsi" w:hAnsiTheme="minorHAnsi" w:cstheme="minorHAnsi"/>
          <w:sz w:val="22"/>
          <w:szCs w:val="22"/>
        </w:rPr>
        <w:t xml:space="preserve"> examination of the lawfulness of the continu</w:t>
      </w:r>
      <w:r w:rsidR="0064788D">
        <w:rPr>
          <w:rFonts w:asciiTheme="minorHAnsi" w:hAnsiTheme="minorHAnsi" w:cstheme="minorHAnsi"/>
          <w:sz w:val="22"/>
          <w:szCs w:val="22"/>
        </w:rPr>
        <w:t>ed d</w:t>
      </w:r>
      <w:r w:rsidR="000E29B1" w:rsidRPr="00916826">
        <w:rPr>
          <w:rFonts w:asciiTheme="minorHAnsi" w:hAnsiTheme="minorHAnsi" w:cstheme="minorHAnsi"/>
          <w:sz w:val="22"/>
          <w:szCs w:val="22"/>
        </w:rPr>
        <w:t xml:space="preserve">etention. </w:t>
      </w:r>
      <w:r w:rsidR="00CA3F74" w:rsidRPr="00916826">
        <w:rPr>
          <w:rFonts w:asciiTheme="minorHAnsi" w:eastAsia="Calibri" w:hAnsiTheme="minorHAnsi" w:cstheme="minorHAnsi"/>
          <w:sz w:val="22"/>
          <w:szCs w:val="22"/>
        </w:rPr>
        <w:t>One of the experts consulted for this expert opinio</w:t>
      </w:r>
      <w:r w:rsidR="0064788D">
        <w:rPr>
          <w:rFonts w:asciiTheme="minorHAnsi" w:eastAsia="Calibri" w:hAnsiTheme="minorHAnsi" w:cstheme="minorHAnsi"/>
          <w:sz w:val="22"/>
          <w:szCs w:val="22"/>
        </w:rPr>
        <w:t>n</w:t>
      </w:r>
      <w:r w:rsidR="00CA3F74" w:rsidRPr="00916826">
        <w:rPr>
          <w:rFonts w:asciiTheme="minorHAnsi" w:eastAsia="Calibri" w:hAnsiTheme="minorHAnsi" w:cstheme="minorHAnsi"/>
          <w:sz w:val="22"/>
          <w:szCs w:val="22"/>
        </w:rPr>
        <w:t xml:space="preserve"> confirmed that </w:t>
      </w:r>
      <w:r w:rsidR="009575BB" w:rsidRPr="00916826">
        <w:rPr>
          <w:rFonts w:asciiTheme="minorHAnsi" w:eastAsia="Calibri" w:hAnsiTheme="minorHAnsi" w:cstheme="minorHAnsi"/>
          <w:sz w:val="22"/>
          <w:szCs w:val="22"/>
        </w:rPr>
        <w:t xml:space="preserve">the </w:t>
      </w:r>
      <w:r w:rsidR="00CA3F74" w:rsidRPr="00916826">
        <w:rPr>
          <w:rFonts w:asciiTheme="minorHAnsi" w:eastAsia="Calibri" w:hAnsiTheme="minorHAnsi" w:cstheme="minorHAnsi"/>
          <w:sz w:val="22"/>
          <w:szCs w:val="22"/>
        </w:rPr>
        <w:t xml:space="preserve">BVwG is competent to conduct a </w:t>
      </w:r>
      <w:r w:rsidR="006E6134" w:rsidRPr="00916826">
        <w:rPr>
          <w:rFonts w:asciiTheme="minorHAnsi" w:eastAsia="Calibri" w:hAnsiTheme="minorHAnsi" w:cstheme="minorHAnsi"/>
          <w:sz w:val="22"/>
          <w:szCs w:val="22"/>
        </w:rPr>
        <w:t>forward-looking</w:t>
      </w:r>
      <w:r w:rsidR="009575BB" w:rsidRPr="00916826">
        <w:rPr>
          <w:rFonts w:asciiTheme="minorHAnsi" w:eastAsia="Calibri" w:hAnsiTheme="minorHAnsi" w:cstheme="minorHAnsi"/>
          <w:sz w:val="22"/>
          <w:szCs w:val="22"/>
        </w:rPr>
        <w:t xml:space="preserve"> </w:t>
      </w:r>
      <w:r w:rsidR="009575BB" w:rsidRPr="00916826">
        <w:rPr>
          <w:rFonts w:asciiTheme="minorHAnsi" w:eastAsia="Calibri" w:hAnsiTheme="minorHAnsi" w:cstheme="minorHAnsi"/>
          <w:i/>
          <w:sz w:val="22"/>
          <w:szCs w:val="22"/>
        </w:rPr>
        <w:t>ex</w:t>
      </w:r>
      <w:r w:rsidR="00CA3F74" w:rsidRPr="00916826">
        <w:rPr>
          <w:rFonts w:asciiTheme="minorHAnsi" w:eastAsia="Calibri" w:hAnsiTheme="minorHAnsi" w:cstheme="minorHAnsi"/>
          <w:i/>
          <w:sz w:val="22"/>
          <w:szCs w:val="22"/>
        </w:rPr>
        <w:t xml:space="preserve"> </w:t>
      </w:r>
      <w:r w:rsidR="009575BB" w:rsidRPr="00916826">
        <w:rPr>
          <w:rFonts w:asciiTheme="minorHAnsi" w:eastAsia="Calibri" w:hAnsiTheme="minorHAnsi" w:cstheme="minorHAnsi"/>
          <w:i/>
          <w:sz w:val="22"/>
          <w:szCs w:val="22"/>
        </w:rPr>
        <w:t>officio</w:t>
      </w:r>
      <w:r w:rsidR="009575BB" w:rsidRPr="00916826">
        <w:rPr>
          <w:rFonts w:asciiTheme="minorHAnsi" w:eastAsia="Calibri" w:hAnsiTheme="minorHAnsi" w:cstheme="minorHAnsi"/>
          <w:sz w:val="22"/>
          <w:szCs w:val="22"/>
        </w:rPr>
        <w:t xml:space="preserve"> review in an appeal </w:t>
      </w:r>
      <w:r w:rsidR="00CA3F74" w:rsidRPr="00916826">
        <w:rPr>
          <w:rFonts w:asciiTheme="minorHAnsi" w:eastAsia="Calibri" w:hAnsiTheme="minorHAnsi" w:cstheme="minorHAnsi"/>
          <w:sz w:val="22"/>
          <w:szCs w:val="22"/>
        </w:rPr>
        <w:t xml:space="preserve">lodged by the TCN and in the automatic judicial review. </w:t>
      </w:r>
      <w:r w:rsidR="000E29B1" w:rsidRPr="00916826">
        <w:rPr>
          <w:rFonts w:asciiTheme="minorHAnsi" w:eastAsia="Calibri" w:hAnsiTheme="minorHAnsi" w:cstheme="minorHAnsi"/>
          <w:sz w:val="22"/>
          <w:szCs w:val="22"/>
        </w:rPr>
        <w:t xml:space="preserve">The </w:t>
      </w:r>
      <w:r w:rsidR="0064788D">
        <w:rPr>
          <w:rFonts w:asciiTheme="minorHAnsi" w:eastAsia="Calibri" w:hAnsiTheme="minorHAnsi" w:cstheme="minorHAnsi"/>
          <w:sz w:val="22"/>
          <w:szCs w:val="22"/>
        </w:rPr>
        <w:t>B</w:t>
      </w:r>
      <w:r w:rsidR="006E6134">
        <w:rPr>
          <w:rFonts w:asciiTheme="minorHAnsi" w:eastAsia="Calibri" w:hAnsiTheme="minorHAnsi" w:cstheme="minorHAnsi"/>
          <w:sz w:val="22"/>
          <w:szCs w:val="22"/>
        </w:rPr>
        <w:t>Vw</w:t>
      </w:r>
      <w:r w:rsidR="0064788D">
        <w:rPr>
          <w:rFonts w:asciiTheme="minorHAnsi" w:eastAsia="Calibri" w:hAnsiTheme="minorHAnsi" w:cstheme="minorHAnsi"/>
          <w:sz w:val="22"/>
          <w:szCs w:val="22"/>
        </w:rPr>
        <w:t>G</w:t>
      </w:r>
      <w:r w:rsidR="000E29B1" w:rsidRPr="00916826">
        <w:rPr>
          <w:rFonts w:asciiTheme="minorHAnsi" w:eastAsia="Calibri" w:hAnsiTheme="minorHAnsi" w:cstheme="minorHAnsi"/>
          <w:sz w:val="22"/>
          <w:szCs w:val="22"/>
        </w:rPr>
        <w:t xml:space="preserve"> must review all four conditions for detention mentioned above, in the light of the ECHR, national law (</w:t>
      </w:r>
      <w:r w:rsidR="0064788D">
        <w:rPr>
          <w:rFonts w:asciiTheme="minorHAnsi" w:eastAsia="Calibri" w:hAnsiTheme="minorHAnsi" w:cstheme="minorHAnsi"/>
          <w:sz w:val="22"/>
          <w:szCs w:val="22"/>
        </w:rPr>
        <w:t xml:space="preserve">including </w:t>
      </w:r>
      <w:r w:rsidR="000E29B1" w:rsidRPr="00916826">
        <w:rPr>
          <w:rFonts w:asciiTheme="minorHAnsi" w:eastAsia="Calibri" w:hAnsiTheme="minorHAnsi" w:cstheme="minorHAnsi"/>
          <w:sz w:val="22"/>
          <w:szCs w:val="22"/>
        </w:rPr>
        <w:t>personal freedom in the Austrian Constitution</w:t>
      </w:r>
      <w:r w:rsidR="0064788D">
        <w:rPr>
          <w:rFonts w:asciiTheme="minorHAnsi" w:eastAsia="Calibri" w:hAnsiTheme="minorHAnsi" w:cstheme="minorHAnsi"/>
          <w:sz w:val="22"/>
          <w:szCs w:val="22"/>
        </w:rPr>
        <w:t xml:space="preserve"> and</w:t>
      </w:r>
      <w:r w:rsidR="000E29B1" w:rsidRPr="00916826">
        <w:rPr>
          <w:rFonts w:asciiTheme="minorHAnsi" w:eastAsia="Calibri" w:hAnsiTheme="minorHAnsi" w:cstheme="minorHAnsi"/>
          <w:sz w:val="22"/>
          <w:szCs w:val="22"/>
        </w:rPr>
        <w:t xml:space="preserve"> habeas corpus) and EU law. I</w:t>
      </w:r>
      <w:r w:rsidR="009575BB" w:rsidRPr="00916826">
        <w:rPr>
          <w:rFonts w:asciiTheme="minorHAnsi" w:eastAsia="Calibri" w:hAnsiTheme="minorHAnsi" w:cstheme="minorHAnsi"/>
          <w:sz w:val="22"/>
          <w:szCs w:val="22"/>
        </w:rPr>
        <w:t>n practice</w:t>
      </w:r>
      <w:r w:rsidR="00CA3F74" w:rsidRPr="00916826">
        <w:rPr>
          <w:rFonts w:asciiTheme="minorHAnsi" w:eastAsia="Calibri" w:hAnsiTheme="minorHAnsi" w:cstheme="minorHAnsi"/>
          <w:sz w:val="22"/>
          <w:szCs w:val="22"/>
        </w:rPr>
        <w:t>,</w:t>
      </w:r>
      <w:r w:rsidR="009575BB" w:rsidRPr="00916826">
        <w:rPr>
          <w:rFonts w:asciiTheme="minorHAnsi" w:eastAsia="Calibri" w:hAnsiTheme="minorHAnsi" w:cstheme="minorHAnsi"/>
          <w:sz w:val="22"/>
          <w:szCs w:val="22"/>
        </w:rPr>
        <w:t xml:space="preserve"> the</w:t>
      </w:r>
      <w:r w:rsidR="00CA3F74" w:rsidRPr="00916826">
        <w:rPr>
          <w:rFonts w:asciiTheme="minorHAnsi" w:eastAsia="Calibri" w:hAnsiTheme="minorHAnsi" w:cstheme="minorHAnsi"/>
          <w:sz w:val="22"/>
          <w:szCs w:val="22"/>
        </w:rPr>
        <w:t xml:space="preserve"> BVwG </w:t>
      </w:r>
      <w:r w:rsidR="009575BB" w:rsidRPr="00916826">
        <w:rPr>
          <w:rFonts w:asciiTheme="minorHAnsi" w:eastAsia="Calibri" w:hAnsiTheme="minorHAnsi" w:cstheme="minorHAnsi"/>
          <w:sz w:val="22"/>
          <w:szCs w:val="22"/>
        </w:rPr>
        <w:t>limit</w:t>
      </w:r>
      <w:r w:rsidR="00CA3F74" w:rsidRPr="00916826">
        <w:rPr>
          <w:rFonts w:asciiTheme="minorHAnsi" w:eastAsia="Calibri" w:hAnsiTheme="minorHAnsi" w:cstheme="minorHAnsi"/>
          <w:sz w:val="22"/>
          <w:szCs w:val="22"/>
        </w:rPr>
        <w:t>s itself</w:t>
      </w:r>
      <w:r w:rsidR="009575BB" w:rsidRPr="00916826">
        <w:rPr>
          <w:rFonts w:asciiTheme="minorHAnsi" w:eastAsia="Calibri" w:hAnsiTheme="minorHAnsi" w:cstheme="minorHAnsi"/>
          <w:sz w:val="22"/>
          <w:szCs w:val="22"/>
        </w:rPr>
        <w:t xml:space="preserve"> to the </w:t>
      </w:r>
      <w:r w:rsidR="000E29B1" w:rsidRPr="00916826">
        <w:rPr>
          <w:rFonts w:asciiTheme="minorHAnsi" w:eastAsia="Calibri" w:hAnsiTheme="minorHAnsi" w:cstheme="minorHAnsi"/>
          <w:sz w:val="22"/>
          <w:szCs w:val="22"/>
        </w:rPr>
        <w:t xml:space="preserve">assessment of those </w:t>
      </w:r>
      <w:r w:rsidR="009575BB" w:rsidRPr="00916826">
        <w:rPr>
          <w:rFonts w:asciiTheme="minorHAnsi" w:eastAsia="Calibri" w:hAnsiTheme="minorHAnsi" w:cstheme="minorHAnsi"/>
          <w:sz w:val="22"/>
          <w:szCs w:val="22"/>
        </w:rPr>
        <w:t xml:space="preserve">four </w:t>
      </w:r>
      <w:r w:rsidR="00CA3F74" w:rsidRPr="00916826">
        <w:rPr>
          <w:rFonts w:asciiTheme="minorHAnsi" w:eastAsia="Calibri" w:hAnsiTheme="minorHAnsi" w:cstheme="minorHAnsi"/>
          <w:sz w:val="22"/>
          <w:szCs w:val="22"/>
        </w:rPr>
        <w:t>conditions</w:t>
      </w:r>
      <w:r w:rsidR="009575BB" w:rsidRPr="00916826">
        <w:rPr>
          <w:rFonts w:asciiTheme="minorHAnsi" w:eastAsia="Calibri" w:hAnsiTheme="minorHAnsi" w:cstheme="minorHAnsi"/>
          <w:sz w:val="22"/>
          <w:szCs w:val="22"/>
        </w:rPr>
        <w:t>.</w:t>
      </w:r>
      <w:r w:rsidR="000E29B1" w:rsidRPr="00916826">
        <w:rPr>
          <w:rStyle w:val="FootnoteReference"/>
          <w:rFonts w:asciiTheme="minorHAnsi" w:eastAsia="Calibri" w:hAnsiTheme="minorHAnsi" w:cstheme="minorHAnsi"/>
          <w:sz w:val="22"/>
          <w:szCs w:val="22"/>
        </w:rPr>
        <w:footnoteReference w:id="92"/>
      </w:r>
      <w:r w:rsidR="009575BB" w:rsidRPr="00916826">
        <w:rPr>
          <w:rFonts w:asciiTheme="minorHAnsi" w:eastAsia="Calibri" w:hAnsiTheme="minorHAnsi" w:cstheme="minorHAnsi"/>
          <w:sz w:val="22"/>
          <w:szCs w:val="22"/>
        </w:rPr>
        <w:t xml:space="preserve"> </w:t>
      </w:r>
      <w:r w:rsidR="00CA3F74" w:rsidRPr="00916826">
        <w:rPr>
          <w:rFonts w:asciiTheme="minorHAnsi" w:eastAsia="Calibri" w:hAnsiTheme="minorHAnsi" w:cstheme="minorHAnsi"/>
          <w:sz w:val="22"/>
          <w:szCs w:val="22"/>
        </w:rPr>
        <w:t xml:space="preserve">It is possible that the BVwG modifies the legal grounds of the detention decision, in order to make the detention lawful. </w:t>
      </w:r>
    </w:p>
    <w:p w14:paraId="7D767337" w14:textId="55E4B341" w:rsidR="00555FA2" w:rsidRDefault="009B0D26" w:rsidP="00050790">
      <w:pPr>
        <w:spacing w:line="276" w:lineRule="auto"/>
        <w:ind w:firstLine="720"/>
        <w:jc w:val="both"/>
        <w:rPr>
          <w:rFonts w:asciiTheme="minorHAnsi" w:eastAsiaTheme="majorEastAsia" w:hAnsiTheme="minorHAnsi" w:cstheme="minorHAnsi"/>
          <w:b/>
          <w:color w:val="000000" w:themeColor="text1"/>
          <w:sz w:val="22"/>
          <w:szCs w:val="22"/>
        </w:rPr>
      </w:pPr>
      <w:r w:rsidRPr="00916826">
        <w:rPr>
          <w:rFonts w:asciiTheme="minorHAnsi" w:eastAsia="Calibri" w:hAnsiTheme="minorHAnsi" w:cstheme="minorHAnsi"/>
          <w:sz w:val="22"/>
          <w:szCs w:val="22"/>
        </w:rPr>
        <w:t>The Austrian High</w:t>
      </w:r>
      <w:r w:rsidR="00341110">
        <w:rPr>
          <w:rFonts w:asciiTheme="minorHAnsi" w:eastAsia="Calibri" w:hAnsiTheme="minorHAnsi" w:cstheme="minorHAnsi"/>
          <w:sz w:val="22"/>
          <w:szCs w:val="22"/>
        </w:rPr>
        <w:t xml:space="preserve"> </w:t>
      </w:r>
      <w:r w:rsidRPr="00916826">
        <w:rPr>
          <w:rFonts w:asciiTheme="minorHAnsi" w:eastAsia="Calibri" w:hAnsiTheme="minorHAnsi" w:cstheme="minorHAnsi"/>
          <w:sz w:val="22"/>
          <w:szCs w:val="22"/>
        </w:rPr>
        <w:t>Administrative Court has recently</w:t>
      </w:r>
      <w:r w:rsidR="009575BB" w:rsidRPr="00916826">
        <w:rPr>
          <w:rFonts w:asciiTheme="minorHAnsi" w:eastAsia="Calibri" w:hAnsiTheme="minorHAnsi" w:cstheme="minorHAnsi"/>
          <w:sz w:val="22"/>
          <w:szCs w:val="22"/>
        </w:rPr>
        <w:t xml:space="preserve"> decided that </w:t>
      </w:r>
      <w:r w:rsidRPr="00916826">
        <w:rPr>
          <w:rFonts w:asciiTheme="minorHAnsi" w:eastAsia="Calibri" w:hAnsiTheme="minorHAnsi" w:cstheme="minorHAnsi"/>
          <w:sz w:val="22"/>
          <w:szCs w:val="22"/>
        </w:rPr>
        <w:t>the TCN</w:t>
      </w:r>
      <w:r w:rsidR="009575BB" w:rsidRPr="00916826">
        <w:rPr>
          <w:rFonts w:asciiTheme="minorHAnsi" w:eastAsia="Calibri" w:hAnsiTheme="minorHAnsi" w:cstheme="minorHAnsi"/>
          <w:sz w:val="22"/>
          <w:szCs w:val="22"/>
        </w:rPr>
        <w:t xml:space="preserve"> must be heard </w:t>
      </w:r>
      <w:r w:rsidRPr="00916826">
        <w:rPr>
          <w:rFonts w:asciiTheme="minorHAnsi" w:eastAsia="Calibri" w:hAnsiTheme="minorHAnsi" w:cstheme="minorHAnsi"/>
          <w:sz w:val="22"/>
          <w:szCs w:val="22"/>
        </w:rPr>
        <w:t>in the context of</w:t>
      </w:r>
      <w:r w:rsidR="009575BB" w:rsidRPr="00916826">
        <w:rPr>
          <w:rFonts w:asciiTheme="minorHAnsi" w:eastAsia="Calibri" w:hAnsiTheme="minorHAnsi" w:cstheme="minorHAnsi"/>
          <w:sz w:val="22"/>
          <w:szCs w:val="22"/>
        </w:rPr>
        <w:t xml:space="preserve"> the judicial review of the BVwG.</w:t>
      </w:r>
      <w:r w:rsidRPr="00916826">
        <w:rPr>
          <w:rStyle w:val="FootnoteReference"/>
          <w:rFonts w:asciiTheme="minorHAnsi" w:eastAsia="Calibri" w:hAnsiTheme="minorHAnsi" w:cstheme="minorHAnsi"/>
          <w:sz w:val="22"/>
          <w:szCs w:val="22"/>
        </w:rPr>
        <w:footnoteReference w:id="93"/>
      </w:r>
      <w:r w:rsidR="009575BB" w:rsidRPr="00916826">
        <w:rPr>
          <w:rFonts w:asciiTheme="minorHAnsi" w:eastAsia="Calibri" w:hAnsiTheme="minorHAnsi" w:cstheme="minorHAnsi"/>
          <w:sz w:val="22"/>
          <w:szCs w:val="22"/>
        </w:rPr>
        <w:t xml:space="preserve"> Prior to this decision</w:t>
      </w:r>
      <w:r w:rsidR="00E87467">
        <w:rPr>
          <w:rFonts w:asciiTheme="minorHAnsi" w:eastAsia="Calibri" w:hAnsiTheme="minorHAnsi" w:cstheme="minorHAnsi"/>
          <w:sz w:val="22"/>
          <w:szCs w:val="22"/>
        </w:rPr>
        <w:t>,</w:t>
      </w:r>
      <w:r w:rsidR="009575BB" w:rsidRPr="00916826">
        <w:rPr>
          <w:rFonts w:asciiTheme="minorHAnsi" w:eastAsia="Calibri" w:hAnsiTheme="minorHAnsi" w:cstheme="minorHAnsi"/>
          <w:sz w:val="22"/>
          <w:szCs w:val="22"/>
        </w:rPr>
        <w:t xml:space="preserve"> Courts were able to schedule a hearing or ask for written submissions from the applicant but this was rarely practised.</w:t>
      </w:r>
      <w:r w:rsidRPr="00916826">
        <w:rPr>
          <w:rStyle w:val="FootnoteReference"/>
          <w:rFonts w:asciiTheme="minorHAnsi" w:eastAsia="Calibri" w:hAnsiTheme="minorHAnsi" w:cstheme="minorHAnsi"/>
          <w:sz w:val="22"/>
          <w:szCs w:val="22"/>
        </w:rPr>
        <w:footnoteReference w:id="94"/>
      </w:r>
      <w:r w:rsidR="009575BB" w:rsidRPr="00916826">
        <w:rPr>
          <w:rFonts w:asciiTheme="minorHAnsi" w:eastAsia="Calibri" w:hAnsiTheme="minorHAnsi" w:cstheme="minorHAnsi"/>
          <w:sz w:val="22"/>
          <w:szCs w:val="22"/>
        </w:rPr>
        <w:t xml:space="preserve"> Now, the </w:t>
      </w:r>
      <w:r w:rsidR="00E87467">
        <w:rPr>
          <w:rFonts w:asciiTheme="minorHAnsi" w:eastAsia="Calibri" w:hAnsiTheme="minorHAnsi" w:cstheme="minorHAnsi"/>
          <w:sz w:val="22"/>
          <w:szCs w:val="22"/>
        </w:rPr>
        <w:t xml:space="preserve">High </w:t>
      </w:r>
      <w:r w:rsidR="00E87467">
        <w:rPr>
          <w:rFonts w:asciiTheme="minorHAnsi" w:eastAsia="Calibri" w:hAnsiTheme="minorHAnsi" w:cstheme="minorHAnsi"/>
          <w:sz w:val="22"/>
          <w:szCs w:val="22"/>
        </w:rPr>
        <w:lastRenderedPageBreak/>
        <w:t xml:space="preserve">Administrative </w:t>
      </w:r>
      <w:r w:rsidR="009575BB" w:rsidRPr="00916826">
        <w:rPr>
          <w:rFonts w:asciiTheme="minorHAnsi" w:eastAsia="Calibri" w:hAnsiTheme="minorHAnsi" w:cstheme="minorHAnsi"/>
          <w:sz w:val="22"/>
          <w:szCs w:val="22"/>
        </w:rPr>
        <w:t>Court will ask the applicant whether they would like to express themselves at a hearing or in written form</w:t>
      </w:r>
      <w:r w:rsidRPr="00916826">
        <w:rPr>
          <w:rFonts w:asciiTheme="minorHAnsi" w:eastAsia="Calibri" w:hAnsiTheme="minorHAnsi" w:cstheme="minorHAnsi"/>
          <w:sz w:val="22"/>
          <w:szCs w:val="22"/>
        </w:rPr>
        <w:t>, which enables them to provide relevant information to the BVwG.</w:t>
      </w:r>
    </w:p>
    <w:p w14:paraId="25C493AA" w14:textId="77777777" w:rsidR="00050790" w:rsidRDefault="00050790" w:rsidP="00050790">
      <w:pPr>
        <w:pStyle w:val="Heading3"/>
        <w:rPr>
          <w:rFonts w:asciiTheme="minorHAnsi" w:hAnsiTheme="minorHAnsi" w:cstheme="minorHAnsi"/>
          <w:b/>
          <w:bCs/>
          <w:sz w:val="22"/>
          <w:szCs w:val="22"/>
        </w:rPr>
      </w:pPr>
      <w:bookmarkStart w:id="26" w:name="_Toc66828034"/>
    </w:p>
    <w:p w14:paraId="008FB18C" w14:textId="41BDB48E" w:rsidR="004509B5" w:rsidRPr="00050790" w:rsidRDefault="004509B5" w:rsidP="00050790">
      <w:pPr>
        <w:pStyle w:val="Heading3"/>
        <w:rPr>
          <w:rFonts w:asciiTheme="minorHAnsi" w:hAnsiTheme="minorHAnsi" w:cstheme="minorHAnsi"/>
          <w:b/>
          <w:bCs/>
          <w:sz w:val="22"/>
          <w:szCs w:val="22"/>
        </w:rPr>
      </w:pPr>
      <w:r w:rsidRPr="00050790">
        <w:rPr>
          <w:rFonts w:asciiTheme="minorHAnsi" w:hAnsiTheme="minorHAnsi" w:cstheme="minorHAnsi"/>
          <w:b/>
          <w:bCs/>
          <w:sz w:val="22"/>
          <w:szCs w:val="22"/>
        </w:rPr>
        <w:t>3.</w:t>
      </w:r>
      <w:r w:rsidR="000F0967" w:rsidRPr="00050790">
        <w:rPr>
          <w:rFonts w:asciiTheme="minorHAnsi" w:hAnsiTheme="minorHAnsi" w:cstheme="minorHAnsi"/>
          <w:b/>
          <w:bCs/>
          <w:sz w:val="22"/>
          <w:szCs w:val="22"/>
        </w:rPr>
        <w:t>2</w:t>
      </w:r>
      <w:r w:rsidRPr="00050790">
        <w:rPr>
          <w:rFonts w:asciiTheme="minorHAnsi" w:hAnsiTheme="minorHAnsi" w:cstheme="minorHAnsi"/>
          <w:b/>
          <w:bCs/>
          <w:sz w:val="22"/>
          <w:szCs w:val="22"/>
        </w:rPr>
        <w:t xml:space="preserve">.2 Germany: a full </w:t>
      </w:r>
      <w:r w:rsidRPr="00050790">
        <w:rPr>
          <w:rFonts w:asciiTheme="minorHAnsi" w:hAnsiTheme="minorHAnsi" w:cstheme="minorHAnsi"/>
          <w:b/>
          <w:bCs/>
          <w:i/>
          <w:iCs/>
          <w:sz w:val="22"/>
          <w:szCs w:val="22"/>
        </w:rPr>
        <w:t>ex officio</w:t>
      </w:r>
      <w:r w:rsidRPr="00050790">
        <w:rPr>
          <w:rFonts w:asciiTheme="minorHAnsi" w:hAnsiTheme="minorHAnsi" w:cstheme="minorHAnsi"/>
          <w:b/>
          <w:bCs/>
          <w:sz w:val="22"/>
          <w:szCs w:val="22"/>
        </w:rPr>
        <w:t xml:space="preserve"> examination</w:t>
      </w:r>
      <w:bookmarkEnd w:id="26"/>
      <w:r w:rsidRPr="00050790">
        <w:rPr>
          <w:rFonts w:asciiTheme="minorHAnsi" w:hAnsiTheme="minorHAnsi" w:cstheme="minorHAnsi"/>
          <w:b/>
          <w:bCs/>
          <w:sz w:val="22"/>
          <w:szCs w:val="22"/>
        </w:rPr>
        <w:t xml:space="preserve"> </w:t>
      </w:r>
    </w:p>
    <w:p w14:paraId="239AF545" w14:textId="77777777" w:rsidR="004509B5" w:rsidRPr="00916826" w:rsidRDefault="004509B5" w:rsidP="007F72D6">
      <w:pPr>
        <w:spacing w:line="276" w:lineRule="auto"/>
        <w:rPr>
          <w:rFonts w:asciiTheme="minorHAnsi" w:hAnsiTheme="minorHAnsi" w:cstheme="minorHAnsi"/>
          <w:sz w:val="22"/>
          <w:szCs w:val="22"/>
        </w:rPr>
      </w:pPr>
    </w:p>
    <w:p w14:paraId="0AC00E65" w14:textId="00847BF2" w:rsidR="004509B5" w:rsidRPr="00E87467" w:rsidRDefault="004509B5" w:rsidP="007F72D6">
      <w:pPr>
        <w:spacing w:line="276" w:lineRule="auto"/>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Germany is the only EU Member State in which all types of detention, including detention based on the Return Directive, are imposed by a judge.</w:t>
      </w:r>
      <w:r w:rsidRPr="00916826">
        <w:rPr>
          <w:rFonts w:asciiTheme="minorHAnsi" w:eastAsia="Calibri" w:hAnsiTheme="minorHAnsi" w:cstheme="minorHAnsi"/>
          <w:sz w:val="22"/>
          <w:szCs w:val="22"/>
          <w:vertAlign w:val="superscript"/>
        </w:rPr>
        <w:footnoteReference w:id="95"/>
      </w:r>
      <w:r w:rsidRPr="00916826">
        <w:rPr>
          <w:rFonts w:asciiTheme="minorHAnsi" w:eastAsia="Calibri" w:hAnsiTheme="minorHAnsi" w:cstheme="minorHAnsi"/>
          <w:sz w:val="22"/>
          <w:szCs w:val="22"/>
        </w:rPr>
        <w:t xml:space="preserve"> This system is based on Article 104(2) of the German Constitution.</w:t>
      </w:r>
      <w:r w:rsidRPr="00916826">
        <w:rPr>
          <w:rFonts w:asciiTheme="minorHAnsi" w:eastAsia="Calibri" w:hAnsiTheme="minorHAnsi" w:cstheme="minorHAnsi"/>
          <w:sz w:val="22"/>
          <w:szCs w:val="22"/>
          <w:vertAlign w:val="superscript"/>
        </w:rPr>
        <w:footnoteReference w:id="96"/>
      </w:r>
      <w:r w:rsidRPr="00916826">
        <w:rPr>
          <w:rFonts w:asciiTheme="minorHAnsi" w:eastAsia="Calibri" w:hAnsiTheme="minorHAnsi" w:cstheme="minorHAnsi"/>
          <w:sz w:val="22"/>
          <w:szCs w:val="22"/>
        </w:rPr>
        <w:t xml:space="preserve"> This idea was first formulated in the 19th century and is still enshrined today in</w:t>
      </w:r>
      <w:r w:rsidR="00E87467">
        <w:rPr>
          <w:rFonts w:asciiTheme="minorHAnsi" w:eastAsia="Calibri" w:hAnsiTheme="minorHAnsi" w:cstheme="minorHAnsi"/>
          <w:sz w:val="22"/>
          <w:szCs w:val="22"/>
        </w:rPr>
        <w:t xml:space="preserve"> </w:t>
      </w:r>
      <w:r w:rsidR="00E87467" w:rsidRPr="00E87467">
        <w:rPr>
          <w:rFonts w:asciiTheme="minorHAnsi" w:eastAsia="Calibri" w:hAnsiTheme="minorHAnsi" w:cstheme="minorHAnsi"/>
          <w:sz w:val="22"/>
          <w:szCs w:val="22"/>
        </w:rPr>
        <w:t>Paragraph</w:t>
      </w:r>
      <w:r w:rsidRPr="00E87467">
        <w:rPr>
          <w:rFonts w:asciiTheme="minorHAnsi" w:eastAsia="Calibri" w:hAnsiTheme="minorHAnsi" w:cstheme="minorHAnsi"/>
          <w:sz w:val="22"/>
          <w:szCs w:val="22"/>
        </w:rPr>
        <w:t xml:space="preserve"> 58 </w:t>
      </w:r>
      <w:r w:rsidR="00E87467" w:rsidRPr="00E87467">
        <w:rPr>
          <w:rFonts w:asciiTheme="minorHAnsi" w:eastAsia="Calibri" w:hAnsiTheme="minorHAnsi" w:cstheme="minorHAnsi"/>
          <w:sz w:val="22"/>
          <w:szCs w:val="22"/>
        </w:rPr>
        <w:t>and further</w:t>
      </w:r>
      <w:r w:rsidRPr="00E87467">
        <w:rPr>
          <w:rFonts w:asciiTheme="minorHAnsi" w:eastAsia="Calibri" w:hAnsiTheme="minorHAnsi" w:cstheme="minorHAnsi"/>
          <w:sz w:val="22"/>
          <w:szCs w:val="22"/>
        </w:rPr>
        <w:t xml:space="preserve"> in conjunction with </w:t>
      </w:r>
      <w:r w:rsidR="00E87467" w:rsidRPr="00E87467">
        <w:rPr>
          <w:rFonts w:asciiTheme="minorHAnsi" w:eastAsia="Calibri" w:hAnsiTheme="minorHAnsi" w:cstheme="minorHAnsi"/>
          <w:sz w:val="22"/>
          <w:szCs w:val="22"/>
        </w:rPr>
        <w:t>Paragraph</w:t>
      </w:r>
      <w:r w:rsidRPr="00E87467">
        <w:rPr>
          <w:rFonts w:asciiTheme="minorHAnsi" w:eastAsia="Calibri" w:hAnsiTheme="minorHAnsi" w:cstheme="minorHAnsi"/>
          <w:sz w:val="22"/>
          <w:szCs w:val="22"/>
        </w:rPr>
        <w:t xml:space="preserve"> 415 </w:t>
      </w:r>
      <w:r w:rsidRPr="00E87467">
        <w:rPr>
          <w:rFonts w:asciiTheme="minorHAnsi" w:hAnsiTheme="minorHAnsi" w:cstheme="minorHAnsi"/>
          <w:bCs/>
          <w:sz w:val="22"/>
          <w:szCs w:val="22"/>
          <w:lang w:val="en-US" w:eastAsia="en-US"/>
        </w:rPr>
        <w:t>of the Act on the Procedure in Family Matters and in Matters of Non-contentious Jurisdiction</w:t>
      </w:r>
      <w:r w:rsidRPr="00E87467">
        <w:rPr>
          <w:rFonts w:asciiTheme="minorHAnsi" w:eastAsia="Calibri" w:hAnsiTheme="minorHAnsi" w:cstheme="minorHAnsi"/>
          <w:sz w:val="22"/>
          <w:szCs w:val="22"/>
          <w:lang w:val="en-US"/>
        </w:rPr>
        <w:t xml:space="preserve"> (henceforth: FamFG).</w:t>
      </w:r>
      <w:r w:rsidR="008845ED">
        <w:rPr>
          <w:rStyle w:val="FootnoteReference"/>
          <w:rFonts w:asciiTheme="minorHAnsi" w:eastAsia="Calibri" w:hAnsiTheme="minorHAnsi" w:cstheme="minorHAnsi"/>
          <w:sz w:val="22"/>
          <w:szCs w:val="22"/>
          <w:lang w:val="en-US"/>
        </w:rPr>
        <w:footnoteReference w:id="97"/>
      </w:r>
      <w:r w:rsidRPr="00E87467">
        <w:rPr>
          <w:rFonts w:asciiTheme="minorHAnsi" w:eastAsia="Calibri" w:hAnsiTheme="minorHAnsi" w:cstheme="minorHAnsi"/>
          <w:sz w:val="22"/>
          <w:szCs w:val="22"/>
          <w:lang w:val="en-US"/>
        </w:rPr>
        <w:t xml:space="preserve"> </w:t>
      </w:r>
      <w:r w:rsidRPr="00E87467">
        <w:rPr>
          <w:rFonts w:asciiTheme="minorHAnsi" w:eastAsia="Calibri" w:hAnsiTheme="minorHAnsi" w:cstheme="minorHAnsi"/>
          <w:sz w:val="22"/>
          <w:szCs w:val="22"/>
        </w:rPr>
        <w:t>The reservation of the judge’s prerogative is the result of a historical development that wanted serious infringements</w:t>
      </w:r>
      <w:r w:rsidR="00E87467" w:rsidRPr="00E87467">
        <w:rPr>
          <w:rFonts w:asciiTheme="minorHAnsi" w:eastAsia="Calibri" w:hAnsiTheme="minorHAnsi" w:cstheme="minorHAnsi"/>
          <w:sz w:val="22"/>
          <w:szCs w:val="22"/>
        </w:rPr>
        <w:t xml:space="preserve"> </w:t>
      </w:r>
      <w:r w:rsidR="00E87467" w:rsidRPr="00E87467">
        <w:rPr>
          <w:rFonts w:ascii="Calibri" w:eastAsia="Calibri" w:hAnsi="Calibri" w:cs="Calibri"/>
          <w:sz w:val="22"/>
          <w:szCs w:val="22"/>
        </w:rPr>
        <w:t>(such as deprivation of liberty) to be regulated by an independent body.</w:t>
      </w:r>
      <w:r w:rsidRPr="00E87467">
        <w:rPr>
          <w:rFonts w:asciiTheme="minorHAnsi" w:eastAsia="Calibri" w:hAnsiTheme="minorHAnsi" w:cstheme="minorHAnsi"/>
          <w:sz w:val="22"/>
          <w:szCs w:val="22"/>
        </w:rPr>
        <w:t xml:space="preserve"> It places judges at the core of decision-making in detention cases. </w:t>
      </w:r>
    </w:p>
    <w:p w14:paraId="04F4EBC2" w14:textId="77777777" w:rsidR="004509B5" w:rsidRPr="00916826" w:rsidRDefault="004509B5" w:rsidP="007F72D6">
      <w:pPr>
        <w:spacing w:line="276" w:lineRule="auto"/>
        <w:ind w:firstLine="720"/>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The civil judge is competent to order and prolong the detention of TCN’s based on the Return Directive.</w:t>
      </w:r>
      <w:r w:rsidRPr="00916826">
        <w:rPr>
          <w:rFonts w:asciiTheme="minorHAnsi" w:eastAsia="Calibri" w:hAnsiTheme="minorHAnsi" w:cstheme="minorHAnsi"/>
          <w:sz w:val="22"/>
          <w:szCs w:val="22"/>
          <w:vertAlign w:val="superscript"/>
        </w:rPr>
        <w:t xml:space="preserve"> </w:t>
      </w:r>
      <w:r w:rsidRPr="00916826">
        <w:rPr>
          <w:rFonts w:asciiTheme="minorHAnsi" w:eastAsia="Calibri" w:hAnsiTheme="minorHAnsi" w:cstheme="minorHAnsi"/>
          <w:sz w:val="22"/>
          <w:szCs w:val="22"/>
          <w:vertAlign w:val="superscript"/>
        </w:rPr>
        <w:footnoteReference w:id="98"/>
      </w:r>
      <w:r w:rsidRPr="00916826">
        <w:rPr>
          <w:rFonts w:asciiTheme="minorHAnsi" w:eastAsia="Calibri" w:hAnsiTheme="minorHAnsi" w:cstheme="minorHAnsi"/>
          <w:sz w:val="22"/>
          <w:szCs w:val="22"/>
          <w:vertAlign w:val="superscript"/>
        </w:rPr>
        <w:t xml:space="preserve"> </w:t>
      </w:r>
      <w:r w:rsidRPr="00916826">
        <w:rPr>
          <w:rFonts w:asciiTheme="minorHAnsi" w:eastAsia="Calibri" w:hAnsiTheme="minorHAnsi" w:cstheme="minorHAnsi"/>
          <w:sz w:val="22"/>
          <w:szCs w:val="22"/>
        </w:rPr>
        <w:t>At the same time, the administrative judge is competent to examine the legality of a final deportation order.</w:t>
      </w:r>
      <w:r w:rsidRPr="00916826">
        <w:rPr>
          <w:rFonts w:asciiTheme="minorHAnsi" w:eastAsia="Calibri" w:hAnsiTheme="minorHAnsi" w:cstheme="minorHAnsi"/>
          <w:sz w:val="22"/>
          <w:szCs w:val="22"/>
          <w:vertAlign w:val="superscript"/>
        </w:rPr>
        <w:footnoteReference w:id="99"/>
      </w:r>
      <w:r w:rsidRPr="00916826">
        <w:rPr>
          <w:rFonts w:asciiTheme="minorHAnsi" w:eastAsia="Calibri" w:hAnsiTheme="minorHAnsi" w:cstheme="minorHAnsi"/>
          <w:sz w:val="22"/>
          <w:szCs w:val="22"/>
        </w:rPr>
        <w:t xml:space="preserve"> The civil judge’s competence to assess the proportionality of detention is therefore limited, particularly with regard to the administrative authorities’ conduct facilitating a deportation with due diligence.</w:t>
      </w:r>
      <w:r w:rsidRPr="00916826">
        <w:rPr>
          <w:rFonts w:asciiTheme="minorHAnsi" w:eastAsia="Calibri" w:hAnsiTheme="minorHAnsi" w:cstheme="minorHAnsi"/>
          <w:sz w:val="22"/>
          <w:szCs w:val="22"/>
          <w:vertAlign w:val="superscript"/>
        </w:rPr>
        <w:footnoteReference w:id="100"/>
      </w:r>
      <w:r w:rsidRPr="00916826">
        <w:rPr>
          <w:rFonts w:asciiTheme="minorHAnsi" w:eastAsia="Calibri" w:hAnsiTheme="minorHAnsi" w:cstheme="minorHAnsi"/>
          <w:sz w:val="22"/>
          <w:szCs w:val="22"/>
        </w:rPr>
        <w:t xml:space="preserve"> </w:t>
      </w:r>
    </w:p>
    <w:p w14:paraId="20C4B74A" w14:textId="0FA13675" w:rsidR="004509B5" w:rsidRPr="00916826" w:rsidRDefault="004509B5" w:rsidP="000F0967">
      <w:pPr>
        <w:spacing w:line="276" w:lineRule="auto"/>
        <w:ind w:firstLine="720"/>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Under German law, the civil judge examining whether a TCN should be detained, must take an independent decision on the merits. This is necessary in order to fulfil the function accorded to the judge by Article 104(2) of the German Constitution and to provide prior protection of fundamental rights.</w:t>
      </w:r>
      <w:r w:rsidRPr="00916826">
        <w:rPr>
          <w:rFonts w:asciiTheme="minorHAnsi" w:eastAsia="Calibri" w:hAnsiTheme="minorHAnsi" w:cstheme="minorHAnsi"/>
          <w:sz w:val="22"/>
          <w:szCs w:val="22"/>
          <w:vertAlign w:val="superscript"/>
        </w:rPr>
        <w:footnoteReference w:id="101"/>
      </w:r>
      <w:r w:rsidRPr="00916826">
        <w:rPr>
          <w:rFonts w:asciiTheme="minorHAnsi" w:eastAsia="Calibri" w:hAnsiTheme="minorHAnsi" w:cstheme="minorHAnsi"/>
          <w:sz w:val="22"/>
          <w:szCs w:val="22"/>
        </w:rPr>
        <w:t xml:space="preserve"> At the request of the competent administrative authority to order detention, the judge conducts a full and </w:t>
      </w:r>
      <w:r w:rsidRPr="00916826">
        <w:rPr>
          <w:rFonts w:asciiTheme="minorHAnsi" w:eastAsia="Calibri" w:hAnsiTheme="minorHAnsi" w:cstheme="minorHAnsi"/>
          <w:i/>
          <w:sz w:val="22"/>
          <w:szCs w:val="22"/>
        </w:rPr>
        <w:t>ex officio</w:t>
      </w:r>
      <w:r w:rsidRPr="00916826">
        <w:rPr>
          <w:rFonts w:asciiTheme="minorHAnsi" w:eastAsia="Calibri" w:hAnsiTheme="minorHAnsi" w:cstheme="minorHAnsi"/>
          <w:sz w:val="22"/>
          <w:szCs w:val="22"/>
        </w:rPr>
        <w:t xml:space="preserve"> independent examination</w:t>
      </w:r>
      <w:r w:rsidRPr="00916826">
        <w:rPr>
          <w:rStyle w:val="FootnoteReference"/>
          <w:rFonts w:asciiTheme="minorHAnsi" w:eastAsia="Calibri" w:hAnsiTheme="minorHAnsi" w:cstheme="minorHAnsi"/>
          <w:sz w:val="22"/>
          <w:szCs w:val="22"/>
        </w:rPr>
        <w:footnoteReference w:id="102"/>
      </w:r>
      <w:r w:rsidRPr="00916826">
        <w:rPr>
          <w:rFonts w:asciiTheme="minorHAnsi" w:eastAsia="Calibri" w:hAnsiTheme="minorHAnsi" w:cstheme="minorHAnsi"/>
          <w:sz w:val="22"/>
          <w:szCs w:val="22"/>
        </w:rPr>
        <w:t>, which deals with the legal as well as the factual aspects and considerations.</w:t>
      </w:r>
      <w:r w:rsidRPr="00916826">
        <w:rPr>
          <w:rFonts w:asciiTheme="minorHAnsi" w:eastAsia="Calibri" w:hAnsiTheme="minorHAnsi" w:cstheme="minorHAnsi"/>
          <w:sz w:val="22"/>
          <w:szCs w:val="22"/>
          <w:vertAlign w:val="superscript"/>
        </w:rPr>
        <w:footnoteReference w:id="103"/>
      </w:r>
      <w:r w:rsidRPr="00916826">
        <w:rPr>
          <w:rFonts w:asciiTheme="minorHAnsi" w:eastAsia="Calibri" w:hAnsiTheme="minorHAnsi" w:cstheme="minorHAnsi"/>
          <w:sz w:val="22"/>
          <w:szCs w:val="22"/>
        </w:rPr>
        <w:t xml:space="preserve"> The judge is not limited to the arguments of the parties, but can conduct investigations on his own motion.</w:t>
      </w:r>
      <w:r w:rsidRPr="00916826">
        <w:rPr>
          <w:rFonts w:asciiTheme="minorHAnsi" w:eastAsia="Calibri" w:hAnsiTheme="minorHAnsi" w:cstheme="minorHAnsi"/>
          <w:sz w:val="22"/>
          <w:szCs w:val="22"/>
          <w:vertAlign w:val="superscript"/>
        </w:rPr>
        <w:footnoteReference w:id="104"/>
      </w:r>
      <w:r w:rsidRPr="00916826">
        <w:rPr>
          <w:rFonts w:asciiTheme="minorHAnsi" w:eastAsia="Calibri" w:hAnsiTheme="minorHAnsi" w:cstheme="minorHAnsi"/>
          <w:sz w:val="22"/>
          <w:szCs w:val="22"/>
        </w:rPr>
        <w:t xml:space="preserve"> They can for example question witnesses or request documents from third parties.</w:t>
      </w:r>
      <w:r w:rsidRPr="00254324">
        <w:rPr>
          <w:rStyle w:val="FootnoteReference"/>
          <w:rFonts w:asciiTheme="minorHAnsi" w:eastAsia="Calibri" w:hAnsiTheme="minorHAnsi" w:cstheme="minorHAnsi"/>
          <w:iCs/>
          <w:sz w:val="22"/>
          <w:szCs w:val="22"/>
        </w:rPr>
        <w:footnoteReference w:id="105"/>
      </w:r>
      <w:r w:rsidRPr="00916826">
        <w:rPr>
          <w:rFonts w:asciiTheme="minorHAnsi" w:eastAsia="Calibri" w:hAnsiTheme="minorHAnsi" w:cstheme="minorHAnsi"/>
          <w:sz w:val="22"/>
          <w:szCs w:val="22"/>
        </w:rPr>
        <w:t xml:space="preserve"> </w:t>
      </w:r>
      <w:r w:rsidR="00B01858">
        <w:rPr>
          <w:rFonts w:asciiTheme="minorHAnsi" w:eastAsia="Calibri" w:hAnsiTheme="minorHAnsi" w:cstheme="minorHAnsi"/>
          <w:sz w:val="22"/>
          <w:szCs w:val="22"/>
        </w:rPr>
        <w:t>A</w:t>
      </w:r>
      <w:r w:rsidR="00B01858" w:rsidRPr="00916826">
        <w:rPr>
          <w:rFonts w:asciiTheme="minorHAnsi" w:eastAsia="Calibri" w:hAnsiTheme="minorHAnsi" w:cstheme="minorHAnsi"/>
          <w:sz w:val="22"/>
          <w:szCs w:val="22"/>
        </w:rPr>
        <w:t>ccording to Article 103(1) in conjunction with Article 104(2) GG</w:t>
      </w:r>
      <w:r w:rsidR="00B01858">
        <w:rPr>
          <w:rFonts w:asciiTheme="minorHAnsi" w:eastAsia="Calibri" w:hAnsiTheme="minorHAnsi" w:cstheme="minorHAnsi"/>
          <w:sz w:val="22"/>
          <w:szCs w:val="22"/>
        </w:rPr>
        <w:t xml:space="preserve"> it</w:t>
      </w:r>
      <w:r w:rsidRPr="00916826">
        <w:rPr>
          <w:rFonts w:asciiTheme="minorHAnsi" w:eastAsia="Calibri" w:hAnsiTheme="minorHAnsi" w:cstheme="minorHAnsi"/>
          <w:sz w:val="22"/>
          <w:szCs w:val="22"/>
        </w:rPr>
        <w:t xml:space="preserve"> is </w:t>
      </w:r>
      <w:r w:rsidRPr="00916826">
        <w:rPr>
          <w:rFonts w:asciiTheme="minorHAnsi" w:eastAsia="Calibri" w:hAnsiTheme="minorHAnsi" w:cstheme="minorHAnsi"/>
          <w:sz w:val="22"/>
          <w:szCs w:val="22"/>
        </w:rPr>
        <w:lastRenderedPageBreak/>
        <w:t>also necessary to hear the TCN affected by the decision before it is issued.</w:t>
      </w:r>
      <w:r w:rsidRPr="00916826">
        <w:rPr>
          <w:rFonts w:asciiTheme="minorHAnsi" w:eastAsia="Calibri" w:hAnsiTheme="minorHAnsi" w:cstheme="minorHAnsi"/>
          <w:sz w:val="22"/>
          <w:szCs w:val="22"/>
          <w:vertAlign w:val="superscript"/>
        </w:rPr>
        <w:footnoteReference w:id="106"/>
      </w:r>
      <w:r w:rsidRPr="00916826">
        <w:rPr>
          <w:rFonts w:asciiTheme="minorHAnsi" w:eastAsia="Calibri" w:hAnsiTheme="minorHAnsi" w:cstheme="minorHAnsi"/>
          <w:sz w:val="22"/>
          <w:szCs w:val="22"/>
        </w:rPr>
        <w:t xml:space="preserve"> If this personal hearing is not conducted, the detention is unlawful. An infringement cannot be cured retroactively.</w:t>
      </w:r>
      <w:r w:rsidRPr="00916826">
        <w:rPr>
          <w:rFonts w:asciiTheme="minorHAnsi" w:eastAsia="Calibri" w:hAnsiTheme="minorHAnsi" w:cstheme="minorHAnsi"/>
          <w:sz w:val="22"/>
          <w:szCs w:val="22"/>
          <w:vertAlign w:val="superscript"/>
        </w:rPr>
        <w:footnoteReference w:id="107"/>
      </w:r>
      <w:r w:rsidRPr="00916826">
        <w:rPr>
          <w:rFonts w:asciiTheme="minorHAnsi" w:eastAsia="Calibri" w:hAnsiTheme="minorHAnsi" w:cstheme="minorHAnsi"/>
          <w:sz w:val="22"/>
          <w:szCs w:val="22"/>
        </w:rPr>
        <w:t xml:space="preserve"> The judge weighs the grounds for detention under strict proportionality considerations.</w:t>
      </w:r>
      <w:r w:rsidRPr="00916826">
        <w:rPr>
          <w:rFonts w:asciiTheme="minorHAnsi" w:eastAsia="Calibri" w:hAnsiTheme="minorHAnsi" w:cstheme="minorHAnsi"/>
          <w:sz w:val="22"/>
          <w:szCs w:val="22"/>
          <w:vertAlign w:val="superscript"/>
        </w:rPr>
        <w:footnoteReference w:id="108"/>
      </w:r>
      <w:r w:rsidRPr="00916826">
        <w:rPr>
          <w:rFonts w:asciiTheme="minorHAnsi" w:eastAsia="Calibri" w:hAnsiTheme="minorHAnsi" w:cstheme="minorHAnsi"/>
          <w:sz w:val="22"/>
          <w:szCs w:val="22"/>
        </w:rPr>
        <w:t xml:space="preserve"> Article 15 Return Directive and Paragraph 62 of the German Residence Act</w:t>
      </w:r>
      <w:r w:rsidRPr="00916826">
        <w:rPr>
          <w:rStyle w:val="FootnoteReference"/>
          <w:rFonts w:asciiTheme="minorHAnsi" w:eastAsia="Calibri" w:hAnsiTheme="minorHAnsi" w:cstheme="minorHAnsi"/>
          <w:sz w:val="22"/>
          <w:szCs w:val="22"/>
        </w:rPr>
        <w:footnoteReference w:id="109"/>
      </w:r>
      <w:r w:rsidRPr="00916826">
        <w:rPr>
          <w:rFonts w:asciiTheme="minorHAnsi" w:eastAsia="Calibri" w:hAnsiTheme="minorHAnsi" w:cstheme="minorHAnsi"/>
          <w:sz w:val="22"/>
          <w:szCs w:val="22"/>
        </w:rPr>
        <w:t xml:space="preserve"> (henceforth: AufenthG) specify under which circumstances the order of detention pending</w:t>
      </w:r>
      <w:r w:rsidRPr="001D15EE">
        <w:rPr>
          <w:rFonts w:asciiTheme="minorHAnsi" w:eastAsia="Calibri" w:hAnsiTheme="minorHAnsi" w:cstheme="minorHAnsi"/>
          <w:sz w:val="22"/>
          <w:szCs w:val="22"/>
        </w:rPr>
        <w:t xml:space="preserve"> </w:t>
      </w:r>
      <w:r w:rsidRPr="00916826">
        <w:rPr>
          <w:rFonts w:asciiTheme="minorHAnsi" w:eastAsia="Calibri" w:hAnsiTheme="minorHAnsi" w:cstheme="minorHAnsi"/>
          <w:sz w:val="22"/>
          <w:szCs w:val="22"/>
        </w:rPr>
        <w:t>deportation is lawful.</w:t>
      </w:r>
      <w:r w:rsidRPr="00916826">
        <w:rPr>
          <w:rFonts w:asciiTheme="minorHAnsi" w:eastAsia="Calibri" w:hAnsiTheme="minorHAnsi" w:cstheme="minorHAnsi"/>
          <w:sz w:val="22"/>
          <w:szCs w:val="22"/>
          <w:vertAlign w:val="superscript"/>
        </w:rPr>
        <w:footnoteReference w:id="110"/>
      </w:r>
      <w:r w:rsidRPr="00916826">
        <w:rPr>
          <w:rFonts w:asciiTheme="minorHAnsi" w:eastAsia="Calibri" w:hAnsiTheme="minorHAnsi" w:cstheme="minorHAnsi"/>
          <w:sz w:val="22"/>
          <w:szCs w:val="22"/>
        </w:rPr>
        <w:t xml:space="preserve"> Within the</w:t>
      </w:r>
      <w:r w:rsidR="00E87467">
        <w:rPr>
          <w:rFonts w:asciiTheme="minorHAnsi" w:eastAsia="Calibri" w:hAnsiTheme="minorHAnsi" w:cstheme="minorHAnsi"/>
          <w:sz w:val="22"/>
          <w:szCs w:val="22"/>
        </w:rPr>
        <w:t>se</w:t>
      </w:r>
      <w:r w:rsidRPr="00916826">
        <w:rPr>
          <w:rFonts w:asciiTheme="minorHAnsi" w:eastAsia="Calibri" w:hAnsiTheme="minorHAnsi" w:cstheme="minorHAnsi"/>
          <w:sz w:val="22"/>
          <w:szCs w:val="22"/>
        </w:rPr>
        <w:t xml:space="preserve"> legal limits, judges enjoy </w:t>
      </w:r>
      <w:r w:rsidR="00E87467">
        <w:rPr>
          <w:rFonts w:asciiTheme="minorHAnsi" w:eastAsia="Calibri" w:hAnsiTheme="minorHAnsi" w:cstheme="minorHAnsi"/>
          <w:sz w:val="22"/>
          <w:szCs w:val="22"/>
        </w:rPr>
        <w:t>consider</w:t>
      </w:r>
      <w:r w:rsidRPr="00916826">
        <w:rPr>
          <w:rFonts w:asciiTheme="minorHAnsi" w:eastAsia="Calibri" w:hAnsiTheme="minorHAnsi" w:cstheme="minorHAnsi"/>
          <w:sz w:val="22"/>
          <w:szCs w:val="22"/>
        </w:rPr>
        <w:t xml:space="preserve">able discretion regarding the </w:t>
      </w:r>
      <w:r w:rsidR="00E87467">
        <w:rPr>
          <w:rFonts w:asciiTheme="minorHAnsi" w:eastAsia="Calibri" w:hAnsiTheme="minorHAnsi" w:cstheme="minorHAnsi"/>
          <w:sz w:val="22"/>
          <w:szCs w:val="22"/>
        </w:rPr>
        <w:t xml:space="preserve">assessment of </w:t>
      </w:r>
      <w:r w:rsidRPr="00916826">
        <w:rPr>
          <w:rFonts w:asciiTheme="minorHAnsi" w:eastAsia="Calibri" w:hAnsiTheme="minorHAnsi" w:cstheme="minorHAnsi"/>
          <w:sz w:val="22"/>
          <w:szCs w:val="22"/>
        </w:rPr>
        <w:t>proportionalit</w:t>
      </w:r>
      <w:r w:rsidR="00E87467">
        <w:rPr>
          <w:rFonts w:asciiTheme="minorHAnsi" w:eastAsia="Calibri" w:hAnsiTheme="minorHAnsi" w:cstheme="minorHAnsi"/>
          <w:sz w:val="22"/>
          <w:szCs w:val="22"/>
        </w:rPr>
        <w:t>y</w:t>
      </w:r>
      <w:r w:rsidRPr="00916826">
        <w:rPr>
          <w:rFonts w:asciiTheme="minorHAnsi" w:eastAsia="Calibri" w:hAnsiTheme="minorHAnsi" w:cstheme="minorHAnsi"/>
          <w:sz w:val="22"/>
          <w:szCs w:val="22"/>
        </w:rPr>
        <w:t xml:space="preserve"> of the detention.</w:t>
      </w:r>
      <w:r w:rsidRPr="00916826">
        <w:rPr>
          <w:rFonts w:asciiTheme="minorHAnsi" w:eastAsia="Calibri" w:hAnsiTheme="minorHAnsi" w:cstheme="minorHAnsi"/>
          <w:sz w:val="22"/>
          <w:szCs w:val="22"/>
          <w:vertAlign w:val="superscript"/>
        </w:rPr>
        <w:footnoteReference w:id="111"/>
      </w:r>
    </w:p>
    <w:p w14:paraId="35B85A57" w14:textId="36B2E059" w:rsidR="004509B5" w:rsidRPr="00916826" w:rsidRDefault="004509B5" w:rsidP="007F72D6">
      <w:pPr>
        <w:spacing w:line="276" w:lineRule="auto"/>
        <w:jc w:val="both"/>
        <w:rPr>
          <w:rFonts w:asciiTheme="minorHAnsi" w:eastAsia="Calibri" w:hAnsiTheme="minorHAnsi" w:cstheme="minorHAnsi"/>
          <w:sz w:val="22"/>
          <w:szCs w:val="22"/>
        </w:rPr>
      </w:pPr>
      <w:r w:rsidRPr="00916826">
        <w:rPr>
          <w:rFonts w:asciiTheme="minorHAnsi" w:eastAsia="Calibri" w:hAnsiTheme="minorHAnsi" w:cstheme="minorHAnsi"/>
          <w:sz w:val="22"/>
          <w:szCs w:val="22"/>
        </w:rPr>
        <w:tab/>
      </w:r>
      <w:r w:rsidRPr="0055174A">
        <w:rPr>
          <w:rFonts w:asciiTheme="minorHAnsi" w:eastAsia="Calibri" w:hAnsiTheme="minorHAnsi" w:cstheme="minorHAnsi"/>
          <w:sz w:val="22"/>
          <w:szCs w:val="22"/>
        </w:rPr>
        <w:t xml:space="preserve">It </w:t>
      </w:r>
      <w:r w:rsidR="00E87467">
        <w:rPr>
          <w:rFonts w:asciiTheme="minorHAnsi" w:eastAsia="Calibri" w:hAnsiTheme="minorHAnsi" w:cstheme="minorHAnsi"/>
          <w:sz w:val="22"/>
          <w:szCs w:val="22"/>
        </w:rPr>
        <w:t>was made clear during</w:t>
      </w:r>
      <w:r w:rsidRPr="0055174A">
        <w:rPr>
          <w:rFonts w:asciiTheme="minorHAnsi" w:eastAsia="Calibri" w:hAnsiTheme="minorHAnsi" w:cstheme="minorHAnsi"/>
          <w:sz w:val="22"/>
          <w:szCs w:val="22"/>
        </w:rPr>
        <w:t xml:space="preserve"> the interview with</w:t>
      </w:r>
      <w:r w:rsidR="00E87467">
        <w:rPr>
          <w:rFonts w:asciiTheme="minorHAnsi" w:eastAsia="Calibri" w:hAnsiTheme="minorHAnsi" w:cstheme="minorHAnsi"/>
          <w:sz w:val="22"/>
          <w:szCs w:val="22"/>
        </w:rPr>
        <w:t xml:space="preserve"> G</w:t>
      </w:r>
      <w:r w:rsidRPr="0055174A">
        <w:rPr>
          <w:rFonts w:asciiTheme="minorHAnsi" w:eastAsia="Calibri" w:hAnsiTheme="minorHAnsi" w:cstheme="minorHAnsi"/>
          <w:sz w:val="22"/>
          <w:szCs w:val="22"/>
        </w:rPr>
        <w:t xml:space="preserve">erman civil judge </w:t>
      </w:r>
      <w:r w:rsidR="0055174A" w:rsidRPr="0055174A">
        <w:rPr>
          <w:rFonts w:asciiTheme="minorHAnsi" w:hAnsiTheme="minorHAnsi" w:cstheme="minorHAnsi"/>
          <w:sz w:val="22"/>
          <w:szCs w:val="22"/>
          <w:lang w:val="en-US"/>
        </w:rPr>
        <w:t xml:space="preserve">Dr. Nicolai Kaniess, </w:t>
      </w:r>
      <w:r w:rsidRPr="0055174A">
        <w:rPr>
          <w:rFonts w:asciiTheme="minorHAnsi" w:eastAsia="Calibri" w:hAnsiTheme="minorHAnsi" w:cstheme="minorHAnsi"/>
          <w:sz w:val="22"/>
          <w:szCs w:val="22"/>
        </w:rPr>
        <w:t>that it is unthinkable in this system that the judge will order detention if the authorities have not provided detailed</w:t>
      </w:r>
      <w:r w:rsidRPr="00916826">
        <w:rPr>
          <w:rFonts w:asciiTheme="minorHAnsi" w:eastAsia="Calibri" w:hAnsiTheme="minorHAnsi" w:cstheme="minorHAnsi"/>
          <w:sz w:val="22"/>
          <w:szCs w:val="22"/>
        </w:rPr>
        <w:t xml:space="preserve"> and complete information, showing that all legal requirements have been fulfilled.</w:t>
      </w:r>
      <w:r w:rsidRPr="00916826">
        <w:rPr>
          <w:rStyle w:val="FootnoteReference"/>
          <w:rFonts w:asciiTheme="minorHAnsi" w:eastAsia="Calibri" w:hAnsiTheme="minorHAnsi" w:cstheme="minorHAnsi"/>
          <w:sz w:val="22"/>
          <w:szCs w:val="22"/>
        </w:rPr>
        <w:footnoteReference w:id="112"/>
      </w:r>
      <w:r w:rsidRPr="00916826">
        <w:rPr>
          <w:rFonts w:asciiTheme="minorHAnsi" w:eastAsia="Calibri" w:hAnsiTheme="minorHAnsi" w:cstheme="minorHAnsi"/>
          <w:sz w:val="22"/>
          <w:szCs w:val="22"/>
        </w:rPr>
        <w:t xml:space="preserve"> </w:t>
      </w:r>
    </w:p>
    <w:p w14:paraId="7A333B23" w14:textId="77777777" w:rsidR="00073554" w:rsidRPr="00916826" w:rsidRDefault="00073554" w:rsidP="007F72D6">
      <w:pPr>
        <w:spacing w:line="276" w:lineRule="auto"/>
        <w:jc w:val="both"/>
        <w:rPr>
          <w:rFonts w:asciiTheme="minorHAnsi" w:eastAsia="Calibri" w:hAnsiTheme="minorHAnsi" w:cstheme="minorHAnsi"/>
          <w:sz w:val="22"/>
          <w:szCs w:val="22"/>
        </w:rPr>
      </w:pPr>
    </w:p>
    <w:p w14:paraId="2F64B365" w14:textId="0F403E61" w:rsidR="009B0D26" w:rsidRPr="00916826" w:rsidRDefault="009B0D26" w:rsidP="007F72D6">
      <w:pPr>
        <w:spacing w:line="276" w:lineRule="auto"/>
        <w:rPr>
          <w:rFonts w:asciiTheme="minorHAnsi" w:eastAsia="Calibri" w:hAnsiTheme="minorHAnsi" w:cstheme="minorHAnsi"/>
          <w:sz w:val="22"/>
          <w:szCs w:val="22"/>
        </w:rPr>
      </w:pPr>
      <w:r w:rsidRPr="00916826">
        <w:rPr>
          <w:rFonts w:asciiTheme="minorHAnsi" w:eastAsia="Calibri" w:hAnsiTheme="minorHAnsi" w:cstheme="minorHAnsi"/>
          <w:sz w:val="22"/>
          <w:szCs w:val="22"/>
        </w:rPr>
        <w:br w:type="page"/>
      </w:r>
    </w:p>
    <w:p w14:paraId="2EA5D526" w14:textId="4AA4F9E2" w:rsidR="00073554" w:rsidRPr="001D15EE" w:rsidRDefault="009B0D26" w:rsidP="007F72D6">
      <w:pPr>
        <w:pStyle w:val="Heading1"/>
        <w:spacing w:line="276" w:lineRule="auto"/>
        <w:rPr>
          <w:rFonts w:asciiTheme="minorHAnsi" w:eastAsia="Calibri" w:hAnsiTheme="minorHAnsi" w:cstheme="minorHAnsi"/>
        </w:rPr>
      </w:pPr>
      <w:bookmarkStart w:id="27" w:name="_Toc66828035"/>
      <w:r w:rsidRPr="001D15EE">
        <w:rPr>
          <w:rFonts w:asciiTheme="minorHAnsi" w:eastAsia="Calibri" w:hAnsiTheme="minorHAnsi" w:cstheme="minorHAnsi"/>
        </w:rPr>
        <w:lastRenderedPageBreak/>
        <w:t>4.</w:t>
      </w:r>
      <w:r w:rsidRPr="001D15EE">
        <w:rPr>
          <w:rFonts w:asciiTheme="minorHAnsi" w:eastAsia="Calibri" w:hAnsiTheme="minorHAnsi" w:cstheme="minorHAnsi"/>
        </w:rPr>
        <w:tab/>
        <w:t>Conclusion</w:t>
      </w:r>
      <w:bookmarkEnd w:id="27"/>
    </w:p>
    <w:p w14:paraId="18CCD424" w14:textId="45C796A3" w:rsidR="00EB412B" w:rsidRDefault="00EB412B" w:rsidP="007F72D6">
      <w:pPr>
        <w:spacing w:line="276" w:lineRule="auto"/>
        <w:jc w:val="both"/>
        <w:rPr>
          <w:rFonts w:asciiTheme="minorHAnsi" w:eastAsia="Calibri" w:hAnsiTheme="minorHAnsi" w:cstheme="minorHAnsi"/>
        </w:rPr>
      </w:pPr>
    </w:p>
    <w:p w14:paraId="14EACC1A" w14:textId="2399EE20" w:rsidR="00810F40" w:rsidRPr="00050790" w:rsidRDefault="005F2372" w:rsidP="007F72D6">
      <w:pPr>
        <w:spacing w:line="276" w:lineRule="auto"/>
        <w:jc w:val="both"/>
        <w:rPr>
          <w:rFonts w:asciiTheme="minorHAnsi" w:eastAsia="Calibri" w:hAnsiTheme="minorHAnsi" w:cstheme="minorHAnsi"/>
          <w:sz w:val="22"/>
          <w:szCs w:val="22"/>
        </w:rPr>
      </w:pPr>
      <w:r w:rsidRPr="00050790">
        <w:rPr>
          <w:rFonts w:asciiTheme="minorHAnsi" w:eastAsia="Calibri" w:hAnsiTheme="minorHAnsi" w:cstheme="minorHAnsi"/>
          <w:sz w:val="22"/>
          <w:szCs w:val="22"/>
        </w:rPr>
        <w:t>T</w:t>
      </w:r>
      <w:r w:rsidR="007F762A" w:rsidRPr="00050790">
        <w:rPr>
          <w:rFonts w:asciiTheme="minorHAnsi" w:eastAsia="Calibri" w:hAnsiTheme="minorHAnsi" w:cstheme="minorHAnsi"/>
          <w:sz w:val="22"/>
          <w:szCs w:val="22"/>
        </w:rPr>
        <w:t xml:space="preserve">he preliminary questions in </w:t>
      </w:r>
      <w:r w:rsidR="007F762A" w:rsidRPr="00050790">
        <w:rPr>
          <w:rFonts w:asciiTheme="minorHAnsi" w:hAnsiTheme="minorHAnsi" w:cstheme="minorHAnsi"/>
          <w:sz w:val="22"/>
          <w:szCs w:val="22"/>
        </w:rPr>
        <w:t xml:space="preserve">Joined Cases </w:t>
      </w:r>
      <w:r w:rsidR="007F762A" w:rsidRPr="00050790">
        <w:rPr>
          <w:rFonts w:asciiTheme="minorHAnsi" w:hAnsiTheme="minorHAnsi" w:cstheme="minorHAnsi"/>
          <w:sz w:val="22"/>
          <w:szCs w:val="22"/>
          <w:shd w:val="clear" w:color="auto" w:fill="FFFFFF"/>
        </w:rPr>
        <w:t xml:space="preserve">C-704/20 PPU and C-39/21 PPU essentially ask the CJEU </w:t>
      </w:r>
      <w:r w:rsidRPr="00050790">
        <w:rPr>
          <w:rFonts w:asciiTheme="minorHAnsi" w:hAnsiTheme="minorHAnsi" w:cstheme="minorHAnsi"/>
          <w:sz w:val="22"/>
          <w:szCs w:val="22"/>
          <w:shd w:val="clear" w:color="auto" w:fill="FFFFFF"/>
        </w:rPr>
        <w:t xml:space="preserve">to rule </w:t>
      </w:r>
      <w:r w:rsidR="007F762A" w:rsidRPr="00050790">
        <w:rPr>
          <w:rFonts w:asciiTheme="minorHAnsi" w:hAnsiTheme="minorHAnsi" w:cstheme="minorHAnsi"/>
          <w:sz w:val="22"/>
          <w:szCs w:val="22"/>
          <w:shd w:val="clear" w:color="auto" w:fill="FFFFFF"/>
        </w:rPr>
        <w:t xml:space="preserve">about the role of a national detention judge under Article 15 Return Directive and Articles 6 and 47 of the Charter. </w:t>
      </w:r>
      <w:r w:rsidR="002F5738" w:rsidRPr="00050790">
        <w:rPr>
          <w:rFonts w:asciiTheme="minorHAnsi" w:hAnsiTheme="minorHAnsi" w:cstheme="minorHAnsi"/>
          <w:sz w:val="22"/>
          <w:szCs w:val="22"/>
          <w:shd w:val="clear" w:color="auto" w:fill="FFFFFF"/>
        </w:rPr>
        <w:t xml:space="preserve">Does EU law require this judge to act as a </w:t>
      </w:r>
      <w:r w:rsidR="002F5738" w:rsidRPr="00050790">
        <w:rPr>
          <w:rFonts w:asciiTheme="minorHAnsi" w:eastAsia="Calibri" w:hAnsiTheme="minorHAnsi" w:cstheme="minorHAnsi"/>
          <w:i/>
          <w:iCs/>
          <w:sz w:val="22"/>
          <w:szCs w:val="22"/>
        </w:rPr>
        <w:t>habeas corpus</w:t>
      </w:r>
      <w:r w:rsidRPr="00050790">
        <w:rPr>
          <w:rFonts w:asciiTheme="minorHAnsi" w:eastAsia="Calibri" w:hAnsiTheme="minorHAnsi" w:cstheme="minorHAnsi"/>
          <w:sz w:val="22"/>
          <w:szCs w:val="22"/>
        </w:rPr>
        <w:t xml:space="preserve"> judge</w:t>
      </w:r>
      <w:r w:rsidR="002F5738" w:rsidRPr="00050790">
        <w:rPr>
          <w:rFonts w:asciiTheme="minorHAnsi" w:eastAsia="Calibri" w:hAnsiTheme="minorHAnsi" w:cstheme="minorHAnsi"/>
          <w:sz w:val="22"/>
          <w:szCs w:val="22"/>
        </w:rPr>
        <w:t xml:space="preserve">, who must </w:t>
      </w:r>
      <w:r w:rsidR="002F5738" w:rsidRPr="00B51D01">
        <w:rPr>
          <w:rFonts w:asciiTheme="minorHAnsi" w:eastAsia="Calibri" w:hAnsiTheme="minorHAnsi" w:cstheme="minorHAnsi"/>
          <w:sz w:val="22"/>
          <w:szCs w:val="22"/>
        </w:rPr>
        <w:t xml:space="preserve">actively </w:t>
      </w:r>
      <w:r w:rsidR="002F5738" w:rsidRPr="00050790">
        <w:rPr>
          <w:rFonts w:asciiTheme="minorHAnsi" w:eastAsia="Calibri" w:hAnsiTheme="minorHAnsi" w:cstheme="minorHAnsi"/>
          <w:sz w:val="22"/>
          <w:szCs w:val="22"/>
        </w:rPr>
        <w:t>ensure that the detention measure is law</w:t>
      </w:r>
      <w:r w:rsidRPr="00050790">
        <w:rPr>
          <w:rFonts w:asciiTheme="minorHAnsi" w:eastAsia="Calibri" w:hAnsiTheme="minorHAnsi" w:cstheme="minorHAnsi"/>
          <w:sz w:val="22"/>
          <w:szCs w:val="22"/>
        </w:rPr>
        <w:t>ful</w:t>
      </w:r>
      <w:r w:rsidR="002F5738" w:rsidRPr="00050790">
        <w:rPr>
          <w:rFonts w:asciiTheme="minorHAnsi" w:eastAsia="Calibri" w:hAnsiTheme="minorHAnsi" w:cstheme="minorHAnsi"/>
          <w:sz w:val="22"/>
          <w:szCs w:val="22"/>
        </w:rPr>
        <w:t xml:space="preserve">? Or does EU law allow that national procedural rules limit the scope of review to the arguments raised by the applicant in the grounds of appeal, thus prohibiting </w:t>
      </w:r>
      <w:r w:rsidR="002F5738" w:rsidRPr="00050790">
        <w:rPr>
          <w:rFonts w:asciiTheme="minorHAnsi" w:eastAsia="Calibri" w:hAnsiTheme="minorHAnsi" w:cstheme="minorHAnsi"/>
          <w:i/>
          <w:iCs/>
          <w:sz w:val="22"/>
          <w:szCs w:val="22"/>
        </w:rPr>
        <w:t>ex officio</w:t>
      </w:r>
      <w:r w:rsidR="002F5738" w:rsidRPr="00050790">
        <w:rPr>
          <w:rFonts w:asciiTheme="minorHAnsi" w:eastAsia="Calibri" w:hAnsiTheme="minorHAnsi" w:cstheme="minorHAnsi"/>
          <w:sz w:val="22"/>
          <w:szCs w:val="22"/>
        </w:rPr>
        <w:t xml:space="preserve"> review of </w:t>
      </w:r>
      <w:r w:rsidR="00020B0F">
        <w:rPr>
          <w:rFonts w:asciiTheme="minorHAnsi" w:eastAsia="Calibri" w:hAnsiTheme="minorHAnsi" w:cstheme="minorHAnsi"/>
          <w:sz w:val="22"/>
          <w:szCs w:val="22"/>
        </w:rPr>
        <w:t xml:space="preserve">those </w:t>
      </w:r>
      <w:r w:rsidR="002F5738" w:rsidRPr="00050790">
        <w:rPr>
          <w:rFonts w:asciiTheme="minorHAnsi" w:eastAsia="Calibri" w:hAnsiTheme="minorHAnsi" w:cstheme="minorHAnsi"/>
          <w:sz w:val="22"/>
          <w:szCs w:val="22"/>
        </w:rPr>
        <w:t>aspects of the detention measure</w:t>
      </w:r>
      <w:r w:rsidR="00B51D01">
        <w:rPr>
          <w:rFonts w:asciiTheme="minorHAnsi" w:eastAsia="Calibri" w:hAnsiTheme="minorHAnsi" w:cstheme="minorHAnsi"/>
          <w:sz w:val="22"/>
          <w:szCs w:val="22"/>
        </w:rPr>
        <w:t>,</w:t>
      </w:r>
      <w:r w:rsidRPr="00050790">
        <w:rPr>
          <w:rFonts w:asciiTheme="minorHAnsi" w:eastAsia="Calibri" w:hAnsiTheme="minorHAnsi" w:cstheme="minorHAnsi"/>
          <w:sz w:val="22"/>
          <w:szCs w:val="22"/>
        </w:rPr>
        <w:t xml:space="preserve"> which were not contested?</w:t>
      </w:r>
      <w:r w:rsidR="00047AC9" w:rsidRPr="00050790">
        <w:rPr>
          <w:rFonts w:asciiTheme="minorHAnsi" w:eastAsia="Calibri" w:hAnsiTheme="minorHAnsi" w:cstheme="minorHAnsi"/>
          <w:sz w:val="22"/>
          <w:szCs w:val="22"/>
        </w:rPr>
        <w:t xml:space="preserve"> </w:t>
      </w:r>
    </w:p>
    <w:p w14:paraId="74FECE06" w14:textId="29149ED7" w:rsidR="007E50DD" w:rsidRDefault="005F2372" w:rsidP="007F72D6">
      <w:pPr>
        <w:spacing w:line="276" w:lineRule="auto"/>
        <w:jc w:val="both"/>
        <w:rPr>
          <w:rFonts w:asciiTheme="minorHAnsi" w:eastAsia="Calibri" w:hAnsiTheme="minorHAnsi" w:cstheme="minorHAnsi"/>
          <w:sz w:val="22"/>
          <w:szCs w:val="22"/>
        </w:rPr>
      </w:pPr>
      <w:r w:rsidRPr="00050790">
        <w:rPr>
          <w:rFonts w:asciiTheme="minorHAnsi" w:eastAsia="Calibri" w:hAnsiTheme="minorHAnsi" w:cstheme="minorHAnsi"/>
          <w:sz w:val="22"/>
          <w:szCs w:val="22"/>
        </w:rPr>
        <w:tab/>
        <w:t xml:space="preserve">This expert opinion has demonstrated </w:t>
      </w:r>
      <w:r w:rsidR="002D1D69" w:rsidRPr="00050790">
        <w:rPr>
          <w:rFonts w:asciiTheme="minorHAnsi" w:eastAsia="Calibri" w:hAnsiTheme="minorHAnsi" w:cstheme="minorHAnsi"/>
          <w:sz w:val="22"/>
          <w:szCs w:val="22"/>
        </w:rPr>
        <w:t xml:space="preserve">in Chapter 2 </w:t>
      </w:r>
      <w:r w:rsidRPr="00050790">
        <w:rPr>
          <w:rFonts w:asciiTheme="minorHAnsi" w:eastAsia="Calibri" w:hAnsiTheme="minorHAnsi" w:cstheme="minorHAnsi"/>
          <w:sz w:val="22"/>
          <w:szCs w:val="22"/>
        </w:rPr>
        <w:t>that the restrictive interpretation of Article 8:69 GALA by the Council of State</w:t>
      </w:r>
      <w:r w:rsidR="007E50DD" w:rsidRPr="00050790">
        <w:rPr>
          <w:rFonts w:asciiTheme="minorHAnsi" w:eastAsia="Calibri" w:hAnsiTheme="minorHAnsi" w:cstheme="minorHAnsi"/>
          <w:sz w:val="22"/>
          <w:szCs w:val="22"/>
        </w:rPr>
        <w:t>,</w:t>
      </w:r>
      <w:r w:rsidRPr="00050790">
        <w:rPr>
          <w:rFonts w:asciiTheme="minorHAnsi" w:eastAsia="Calibri" w:hAnsiTheme="minorHAnsi" w:cstheme="minorHAnsi"/>
          <w:sz w:val="22"/>
          <w:szCs w:val="22"/>
        </w:rPr>
        <w:t xml:space="preserve"> prohibits the Dutch District </w:t>
      </w:r>
      <w:r w:rsidR="00B51D01">
        <w:rPr>
          <w:rFonts w:asciiTheme="minorHAnsi" w:eastAsia="Calibri" w:hAnsiTheme="minorHAnsi" w:cstheme="minorHAnsi"/>
          <w:sz w:val="22"/>
          <w:szCs w:val="22"/>
        </w:rPr>
        <w:t>C</w:t>
      </w:r>
      <w:r w:rsidRPr="00050790">
        <w:rPr>
          <w:rFonts w:asciiTheme="minorHAnsi" w:eastAsia="Calibri" w:hAnsiTheme="minorHAnsi" w:cstheme="minorHAnsi"/>
          <w:sz w:val="22"/>
          <w:szCs w:val="22"/>
        </w:rPr>
        <w:t xml:space="preserve">ourts </w:t>
      </w:r>
      <w:r w:rsidR="007E50DD" w:rsidRPr="00050790">
        <w:rPr>
          <w:rFonts w:asciiTheme="minorHAnsi" w:eastAsia="Calibri" w:hAnsiTheme="minorHAnsi" w:cstheme="minorHAnsi"/>
          <w:sz w:val="22"/>
          <w:szCs w:val="22"/>
        </w:rPr>
        <w:t xml:space="preserve">to rule </w:t>
      </w:r>
      <w:r w:rsidR="007E50DD" w:rsidRPr="00050790">
        <w:rPr>
          <w:rFonts w:asciiTheme="minorHAnsi" w:eastAsia="Calibri" w:hAnsiTheme="minorHAnsi" w:cstheme="minorHAnsi"/>
          <w:i/>
          <w:iCs/>
          <w:sz w:val="22"/>
          <w:szCs w:val="22"/>
        </w:rPr>
        <w:t>ex officio</w:t>
      </w:r>
      <w:r w:rsidR="007E50DD" w:rsidRPr="00050790">
        <w:rPr>
          <w:rFonts w:asciiTheme="minorHAnsi" w:eastAsia="Calibri" w:hAnsiTheme="minorHAnsi" w:cstheme="minorHAnsi"/>
          <w:sz w:val="22"/>
          <w:szCs w:val="22"/>
        </w:rPr>
        <w:t xml:space="preserve"> in the appeal against a detention measure. The </w:t>
      </w:r>
      <w:r w:rsidR="00BF339C">
        <w:rPr>
          <w:rFonts w:asciiTheme="minorHAnsi" w:eastAsia="Calibri" w:hAnsiTheme="minorHAnsi" w:cstheme="minorHAnsi"/>
          <w:sz w:val="22"/>
          <w:szCs w:val="22"/>
        </w:rPr>
        <w:t>District C</w:t>
      </w:r>
      <w:r w:rsidR="007E50DD" w:rsidRPr="00050790">
        <w:rPr>
          <w:rFonts w:asciiTheme="minorHAnsi" w:eastAsia="Calibri" w:hAnsiTheme="minorHAnsi" w:cstheme="minorHAnsi"/>
          <w:sz w:val="22"/>
          <w:szCs w:val="22"/>
        </w:rPr>
        <w:t>ourts are only allowed to apply provisions which are considered to</w:t>
      </w:r>
      <w:r w:rsidR="007E50DD">
        <w:rPr>
          <w:rFonts w:asciiTheme="minorHAnsi" w:eastAsia="Calibri" w:hAnsiTheme="minorHAnsi" w:cstheme="minorHAnsi"/>
          <w:sz w:val="22"/>
          <w:szCs w:val="22"/>
        </w:rPr>
        <w:t xml:space="preserve"> be of ‘public order’</w:t>
      </w:r>
      <w:r w:rsidR="00D84FCA">
        <w:rPr>
          <w:rFonts w:asciiTheme="minorHAnsi" w:eastAsia="Calibri" w:hAnsiTheme="minorHAnsi" w:cstheme="minorHAnsi"/>
          <w:sz w:val="22"/>
          <w:szCs w:val="22"/>
        </w:rPr>
        <w:t xml:space="preserve"> </w:t>
      </w:r>
      <w:r w:rsidR="00D84FCA" w:rsidRPr="00D84FCA">
        <w:rPr>
          <w:rFonts w:asciiTheme="minorHAnsi" w:eastAsia="Calibri" w:hAnsiTheme="minorHAnsi" w:cstheme="minorHAnsi"/>
          <w:i/>
          <w:iCs/>
          <w:sz w:val="22"/>
          <w:szCs w:val="22"/>
        </w:rPr>
        <w:t>ex officio</w:t>
      </w:r>
      <w:r w:rsidR="007E50DD">
        <w:rPr>
          <w:rFonts w:asciiTheme="minorHAnsi" w:eastAsia="Calibri" w:hAnsiTheme="minorHAnsi" w:cstheme="minorHAnsi"/>
          <w:sz w:val="22"/>
          <w:szCs w:val="22"/>
        </w:rPr>
        <w:t>. These provisions</w:t>
      </w:r>
      <w:r w:rsidR="00D84FCA">
        <w:rPr>
          <w:rFonts w:asciiTheme="minorHAnsi" w:eastAsia="Calibri" w:hAnsiTheme="minorHAnsi" w:cstheme="minorHAnsi"/>
          <w:sz w:val="22"/>
          <w:szCs w:val="22"/>
        </w:rPr>
        <w:t xml:space="preserve"> concern </w:t>
      </w:r>
      <w:r w:rsidR="00D84FCA" w:rsidRPr="001D15EE">
        <w:rPr>
          <w:rFonts w:asciiTheme="minorHAnsi" w:hAnsiTheme="minorHAnsi" w:cstheme="minorHAnsi"/>
          <w:sz w:val="22"/>
          <w:szCs w:val="22"/>
        </w:rPr>
        <w:t>access to the court</w:t>
      </w:r>
      <w:r w:rsidR="00D84FCA">
        <w:rPr>
          <w:rFonts w:asciiTheme="minorHAnsi" w:hAnsiTheme="minorHAnsi" w:cstheme="minorHAnsi"/>
          <w:sz w:val="22"/>
          <w:szCs w:val="22"/>
        </w:rPr>
        <w:t xml:space="preserve">, </w:t>
      </w:r>
      <w:r w:rsidR="00D84FCA" w:rsidRPr="001D15EE">
        <w:rPr>
          <w:rFonts w:asciiTheme="minorHAnsi" w:hAnsiTheme="minorHAnsi" w:cstheme="minorHAnsi"/>
          <w:sz w:val="22"/>
          <w:szCs w:val="22"/>
        </w:rPr>
        <w:t>administrative competence</w:t>
      </w:r>
      <w:r w:rsidR="00D84FCA">
        <w:rPr>
          <w:rFonts w:asciiTheme="minorHAnsi" w:hAnsiTheme="minorHAnsi" w:cstheme="minorHAnsi"/>
          <w:sz w:val="22"/>
          <w:szCs w:val="22"/>
        </w:rPr>
        <w:t xml:space="preserve"> and </w:t>
      </w:r>
      <w:r w:rsidR="00D84FCA" w:rsidRPr="001D15EE">
        <w:rPr>
          <w:rFonts w:asciiTheme="minorHAnsi" w:hAnsiTheme="minorHAnsi" w:cstheme="minorHAnsi"/>
          <w:sz w:val="22"/>
          <w:szCs w:val="22"/>
        </w:rPr>
        <w:t>rules on fair proceedings</w:t>
      </w:r>
      <w:r w:rsidR="00D84FCA">
        <w:rPr>
          <w:rFonts w:asciiTheme="minorHAnsi" w:hAnsiTheme="minorHAnsi" w:cstheme="minorHAnsi"/>
          <w:sz w:val="22"/>
          <w:szCs w:val="22"/>
        </w:rPr>
        <w:t xml:space="preserve">. </w:t>
      </w:r>
      <w:r w:rsidR="007E50DD">
        <w:rPr>
          <w:rFonts w:asciiTheme="minorHAnsi" w:eastAsia="Calibri" w:hAnsiTheme="minorHAnsi" w:cstheme="minorHAnsi"/>
          <w:sz w:val="22"/>
          <w:szCs w:val="22"/>
        </w:rPr>
        <w:t xml:space="preserve">Moreover, the courts </w:t>
      </w:r>
      <w:r w:rsidR="00D84FCA">
        <w:rPr>
          <w:rFonts w:asciiTheme="minorHAnsi" w:eastAsia="Calibri" w:hAnsiTheme="minorHAnsi" w:cstheme="minorHAnsi"/>
          <w:sz w:val="22"/>
          <w:szCs w:val="22"/>
        </w:rPr>
        <w:t xml:space="preserve">are </w:t>
      </w:r>
      <w:r w:rsidR="007E50DD">
        <w:rPr>
          <w:rFonts w:asciiTheme="minorHAnsi" w:eastAsia="Calibri" w:hAnsiTheme="minorHAnsi" w:cstheme="minorHAnsi"/>
          <w:sz w:val="22"/>
          <w:szCs w:val="22"/>
        </w:rPr>
        <w:t xml:space="preserve">required to supplement </w:t>
      </w:r>
      <w:r w:rsidR="00020B0F" w:rsidRPr="007E50DD">
        <w:rPr>
          <w:rFonts w:asciiTheme="minorHAnsi" w:eastAsia="Calibri" w:hAnsiTheme="minorHAnsi" w:cstheme="minorHAnsi"/>
          <w:i/>
          <w:iCs/>
          <w:sz w:val="22"/>
          <w:szCs w:val="22"/>
        </w:rPr>
        <w:t>ex officio</w:t>
      </w:r>
      <w:r w:rsidR="00020B0F">
        <w:rPr>
          <w:rFonts w:asciiTheme="minorHAnsi" w:eastAsia="Calibri" w:hAnsiTheme="minorHAnsi" w:cstheme="minorHAnsi"/>
          <w:sz w:val="22"/>
          <w:szCs w:val="22"/>
        </w:rPr>
        <w:t xml:space="preserve"> </w:t>
      </w:r>
      <w:r w:rsidR="007E50DD">
        <w:rPr>
          <w:rFonts w:asciiTheme="minorHAnsi" w:eastAsia="Calibri" w:hAnsiTheme="minorHAnsi" w:cstheme="minorHAnsi"/>
          <w:sz w:val="22"/>
          <w:szCs w:val="22"/>
        </w:rPr>
        <w:t xml:space="preserve">the legal grounds and allowed to supplement </w:t>
      </w:r>
      <w:r w:rsidR="00020B0F" w:rsidRPr="007E50DD">
        <w:rPr>
          <w:rFonts w:asciiTheme="minorHAnsi" w:eastAsia="Calibri" w:hAnsiTheme="minorHAnsi" w:cstheme="minorHAnsi"/>
          <w:i/>
          <w:iCs/>
          <w:sz w:val="22"/>
          <w:szCs w:val="22"/>
        </w:rPr>
        <w:t>ex officio</w:t>
      </w:r>
      <w:r w:rsidR="00020B0F">
        <w:rPr>
          <w:rFonts w:asciiTheme="minorHAnsi" w:eastAsia="Calibri" w:hAnsiTheme="minorHAnsi" w:cstheme="minorHAnsi"/>
          <w:sz w:val="22"/>
          <w:szCs w:val="22"/>
        </w:rPr>
        <w:t xml:space="preserve"> </w:t>
      </w:r>
      <w:r w:rsidR="007E50DD">
        <w:rPr>
          <w:rFonts w:asciiTheme="minorHAnsi" w:eastAsia="Calibri" w:hAnsiTheme="minorHAnsi" w:cstheme="minorHAnsi"/>
          <w:sz w:val="22"/>
          <w:szCs w:val="22"/>
        </w:rPr>
        <w:t xml:space="preserve">the factual elements of the case. </w:t>
      </w:r>
      <w:r w:rsidR="00D84FCA">
        <w:rPr>
          <w:rFonts w:asciiTheme="minorHAnsi" w:eastAsia="Calibri" w:hAnsiTheme="minorHAnsi" w:cstheme="minorHAnsi"/>
          <w:sz w:val="22"/>
          <w:szCs w:val="22"/>
        </w:rPr>
        <w:t xml:space="preserve">However, </w:t>
      </w:r>
      <w:r w:rsidR="00D84FCA" w:rsidRPr="001D15EE">
        <w:rPr>
          <w:rFonts w:asciiTheme="minorHAnsi" w:hAnsiTheme="minorHAnsi" w:cstheme="minorHAnsi"/>
          <w:sz w:val="22"/>
          <w:szCs w:val="22"/>
        </w:rPr>
        <w:t>the District Court’s competence to supplement the legal grounds and the factual elements</w:t>
      </w:r>
      <w:r w:rsidR="00D84FCA">
        <w:rPr>
          <w:rFonts w:asciiTheme="minorHAnsi" w:hAnsiTheme="minorHAnsi" w:cstheme="minorHAnsi"/>
          <w:sz w:val="22"/>
          <w:szCs w:val="22"/>
        </w:rPr>
        <w:t xml:space="preserve"> is interpreted restrictively by the Council of State.</w:t>
      </w:r>
      <w:r w:rsidR="00D84FCA">
        <w:rPr>
          <w:rStyle w:val="FootnoteReference"/>
          <w:rFonts w:asciiTheme="minorHAnsi" w:hAnsiTheme="minorHAnsi" w:cstheme="minorHAnsi"/>
          <w:sz w:val="22"/>
          <w:szCs w:val="22"/>
        </w:rPr>
        <w:footnoteReference w:id="113"/>
      </w:r>
    </w:p>
    <w:p w14:paraId="7780C254" w14:textId="770175BE" w:rsidR="002D1D69" w:rsidRDefault="007E50DD" w:rsidP="007E50DD">
      <w:pPr>
        <w:spacing w:line="276" w:lineRule="auto"/>
        <w:ind w:firstLine="720"/>
        <w:jc w:val="both"/>
        <w:rPr>
          <w:rFonts w:asciiTheme="minorHAnsi" w:hAnsiTheme="minorHAnsi" w:cstheme="minorHAnsi"/>
          <w:sz w:val="22"/>
          <w:szCs w:val="22"/>
        </w:rPr>
      </w:pPr>
      <w:r>
        <w:rPr>
          <w:rFonts w:asciiTheme="minorHAnsi" w:eastAsia="Calibri" w:hAnsiTheme="minorHAnsi" w:cstheme="minorHAnsi"/>
          <w:sz w:val="22"/>
          <w:szCs w:val="22"/>
        </w:rPr>
        <w:t>Most District Courts in the Netherlands comply with th</w:t>
      </w:r>
      <w:r w:rsidR="00D84FCA">
        <w:rPr>
          <w:rFonts w:asciiTheme="minorHAnsi" w:eastAsia="Calibri" w:hAnsiTheme="minorHAnsi" w:cstheme="minorHAnsi"/>
          <w:sz w:val="22"/>
          <w:szCs w:val="22"/>
        </w:rPr>
        <w:t>e</w:t>
      </w:r>
      <w:r>
        <w:rPr>
          <w:rFonts w:asciiTheme="minorHAnsi" w:eastAsia="Calibri" w:hAnsiTheme="minorHAnsi" w:cstheme="minorHAnsi"/>
          <w:sz w:val="22"/>
          <w:szCs w:val="22"/>
        </w:rPr>
        <w:t xml:space="preserve"> prohibition</w:t>
      </w:r>
      <w:r w:rsidR="00D84FCA">
        <w:rPr>
          <w:rFonts w:asciiTheme="minorHAnsi" w:eastAsia="Calibri" w:hAnsiTheme="minorHAnsi" w:cstheme="minorHAnsi"/>
          <w:sz w:val="22"/>
          <w:szCs w:val="22"/>
        </w:rPr>
        <w:t xml:space="preserve"> of </w:t>
      </w:r>
      <w:r w:rsidR="00D84FCA" w:rsidRPr="00D84FCA">
        <w:rPr>
          <w:rFonts w:asciiTheme="minorHAnsi" w:eastAsia="Calibri" w:hAnsiTheme="minorHAnsi" w:cstheme="minorHAnsi"/>
          <w:i/>
          <w:iCs/>
          <w:sz w:val="22"/>
          <w:szCs w:val="22"/>
        </w:rPr>
        <w:t>ex officio</w:t>
      </w:r>
      <w:r w:rsidR="00D84FCA">
        <w:rPr>
          <w:rFonts w:asciiTheme="minorHAnsi" w:eastAsia="Calibri" w:hAnsiTheme="minorHAnsi" w:cstheme="minorHAnsi"/>
          <w:sz w:val="22"/>
          <w:szCs w:val="22"/>
        </w:rPr>
        <w:t xml:space="preserve"> review</w:t>
      </w:r>
      <w:r>
        <w:rPr>
          <w:rFonts w:asciiTheme="minorHAnsi" w:eastAsia="Calibri" w:hAnsiTheme="minorHAnsi" w:cstheme="minorHAnsi"/>
          <w:sz w:val="22"/>
          <w:szCs w:val="22"/>
        </w:rPr>
        <w:t xml:space="preserve">. </w:t>
      </w:r>
      <w:r w:rsidR="00D84FCA">
        <w:rPr>
          <w:rFonts w:asciiTheme="minorHAnsi" w:eastAsia="Calibri" w:hAnsiTheme="minorHAnsi" w:cstheme="minorHAnsi"/>
          <w:sz w:val="22"/>
          <w:szCs w:val="22"/>
        </w:rPr>
        <w:t>However</w:t>
      </w:r>
      <w:r>
        <w:rPr>
          <w:rFonts w:asciiTheme="minorHAnsi" w:eastAsia="Calibri" w:hAnsiTheme="minorHAnsi" w:cstheme="minorHAnsi"/>
          <w:sz w:val="22"/>
          <w:szCs w:val="22"/>
        </w:rPr>
        <w:t>, some District Courts such as the referring District Court of ‘s-Hertogenbosch</w:t>
      </w:r>
      <w:r w:rsidR="00D84FCA">
        <w:rPr>
          <w:rFonts w:asciiTheme="minorHAnsi" w:eastAsia="Calibri" w:hAnsiTheme="minorHAnsi" w:cstheme="minorHAnsi"/>
          <w:sz w:val="22"/>
          <w:szCs w:val="22"/>
        </w:rPr>
        <w:t>,</w:t>
      </w:r>
      <w:r>
        <w:rPr>
          <w:rFonts w:asciiTheme="minorHAnsi" w:eastAsia="Calibri" w:hAnsiTheme="minorHAnsi" w:cstheme="minorHAnsi"/>
          <w:sz w:val="22"/>
          <w:szCs w:val="22"/>
        </w:rPr>
        <w:t xml:space="preserve"> have felt compelled </w:t>
      </w:r>
      <w:r>
        <w:rPr>
          <w:rFonts w:asciiTheme="minorHAnsi" w:hAnsiTheme="minorHAnsi" w:cstheme="minorHAnsi"/>
          <w:sz w:val="22"/>
          <w:szCs w:val="22"/>
        </w:rPr>
        <w:t xml:space="preserve">to carry out an </w:t>
      </w:r>
      <w:r w:rsidRPr="007E50DD">
        <w:rPr>
          <w:rFonts w:asciiTheme="minorHAnsi" w:hAnsiTheme="minorHAnsi" w:cstheme="minorHAnsi"/>
          <w:i/>
          <w:iCs/>
          <w:sz w:val="22"/>
          <w:szCs w:val="22"/>
        </w:rPr>
        <w:t>ex officio</w:t>
      </w:r>
      <w:r>
        <w:rPr>
          <w:rFonts w:asciiTheme="minorHAnsi" w:hAnsiTheme="minorHAnsi" w:cstheme="minorHAnsi"/>
          <w:sz w:val="22"/>
          <w:szCs w:val="22"/>
        </w:rPr>
        <w:t xml:space="preserve"> judicial review in order to</w:t>
      </w:r>
      <w:r w:rsidR="002D1D69">
        <w:rPr>
          <w:rFonts w:asciiTheme="minorHAnsi" w:hAnsiTheme="minorHAnsi" w:cstheme="minorHAnsi"/>
          <w:sz w:val="22"/>
          <w:szCs w:val="22"/>
        </w:rPr>
        <w:t xml:space="preserve"> ensure the fundamental right of personal </w:t>
      </w:r>
      <w:r w:rsidR="000228E6">
        <w:rPr>
          <w:rFonts w:asciiTheme="minorHAnsi" w:hAnsiTheme="minorHAnsi" w:cstheme="minorHAnsi"/>
          <w:sz w:val="22"/>
          <w:szCs w:val="22"/>
        </w:rPr>
        <w:t xml:space="preserve">liberty </w:t>
      </w:r>
      <w:r w:rsidR="002D1D69">
        <w:rPr>
          <w:rFonts w:asciiTheme="minorHAnsi" w:hAnsiTheme="minorHAnsi" w:cstheme="minorHAnsi"/>
          <w:sz w:val="22"/>
          <w:szCs w:val="22"/>
        </w:rPr>
        <w:t>by</w:t>
      </w:r>
      <w:r>
        <w:rPr>
          <w:rFonts w:asciiTheme="minorHAnsi" w:hAnsiTheme="minorHAnsi" w:cstheme="minorHAnsi"/>
          <w:sz w:val="22"/>
          <w:szCs w:val="22"/>
        </w:rPr>
        <w:t xml:space="preserve"> end</w:t>
      </w:r>
      <w:r w:rsidR="002D1D69">
        <w:rPr>
          <w:rFonts w:asciiTheme="minorHAnsi" w:hAnsiTheme="minorHAnsi" w:cstheme="minorHAnsi"/>
          <w:sz w:val="22"/>
          <w:szCs w:val="22"/>
        </w:rPr>
        <w:t>ing</w:t>
      </w:r>
      <w:r>
        <w:rPr>
          <w:rFonts w:asciiTheme="minorHAnsi" w:hAnsiTheme="minorHAnsi" w:cstheme="minorHAnsi"/>
          <w:sz w:val="22"/>
          <w:szCs w:val="22"/>
        </w:rPr>
        <w:t xml:space="preserve"> </w:t>
      </w:r>
      <w:r w:rsidR="002D1D69">
        <w:rPr>
          <w:rFonts w:asciiTheme="minorHAnsi" w:hAnsiTheme="minorHAnsi" w:cstheme="minorHAnsi"/>
          <w:sz w:val="22"/>
          <w:szCs w:val="22"/>
        </w:rPr>
        <w:t>the</w:t>
      </w:r>
      <w:r>
        <w:rPr>
          <w:rFonts w:asciiTheme="minorHAnsi" w:hAnsiTheme="minorHAnsi" w:cstheme="minorHAnsi"/>
          <w:sz w:val="22"/>
          <w:szCs w:val="22"/>
        </w:rPr>
        <w:t xml:space="preserve"> unlawful detention and </w:t>
      </w:r>
      <w:r w:rsidR="000228E6">
        <w:rPr>
          <w:rFonts w:asciiTheme="minorHAnsi" w:hAnsiTheme="minorHAnsi" w:cstheme="minorHAnsi"/>
          <w:sz w:val="22"/>
          <w:szCs w:val="22"/>
        </w:rPr>
        <w:t xml:space="preserve">ordering the </w:t>
      </w:r>
      <w:r>
        <w:rPr>
          <w:rFonts w:asciiTheme="minorHAnsi" w:hAnsiTheme="minorHAnsi" w:cstheme="minorHAnsi"/>
          <w:sz w:val="22"/>
          <w:szCs w:val="22"/>
        </w:rPr>
        <w:t>releas</w:t>
      </w:r>
      <w:r w:rsidR="000228E6">
        <w:rPr>
          <w:rFonts w:asciiTheme="minorHAnsi" w:hAnsiTheme="minorHAnsi" w:cstheme="minorHAnsi"/>
          <w:sz w:val="22"/>
          <w:szCs w:val="22"/>
        </w:rPr>
        <w:t>e of</w:t>
      </w:r>
      <w:r>
        <w:rPr>
          <w:rFonts w:asciiTheme="minorHAnsi" w:hAnsiTheme="minorHAnsi" w:cstheme="minorHAnsi"/>
          <w:sz w:val="22"/>
          <w:szCs w:val="22"/>
        </w:rPr>
        <w:t xml:space="preserve"> the TCN. In this expert opinion, we have described five examples of such judgments in more detail. The</w:t>
      </w:r>
      <w:r w:rsidR="00020B0F">
        <w:rPr>
          <w:rFonts w:asciiTheme="minorHAnsi" w:hAnsiTheme="minorHAnsi" w:cstheme="minorHAnsi"/>
          <w:sz w:val="22"/>
          <w:szCs w:val="22"/>
        </w:rPr>
        <w:t>se</w:t>
      </w:r>
      <w:r>
        <w:rPr>
          <w:rFonts w:asciiTheme="minorHAnsi" w:hAnsiTheme="minorHAnsi" w:cstheme="minorHAnsi"/>
          <w:sz w:val="22"/>
          <w:szCs w:val="22"/>
        </w:rPr>
        <w:t xml:space="preserve"> concerned </w:t>
      </w:r>
      <w:r w:rsidR="00D84FCA">
        <w:rPr>
          <w:rFonts w:asciiTheme="minorHAnsi" w:hAnsiTheme="minorHAnsi" w:cstheme="minorHAnsi"/>
          <w:sz w:val="22"/>
          <w:szCs w:val="22"/>
        </w:rPr>
        <w:t>situations in which the judge was aware that the detention was unlawful because there was no prospect of removal</w:t>
      </w:r>
      <w:r w:rsidR="00B51D01">
        <w:rPr>
          <w:rFonts w:asciiTheme="minorHAnsi" w:hAnsiTheme="minorHAnsi" w:cstheme="minorHAnsi"/>
          <w:sz w:val="22"/>
          <w:szCs w:val="22"/>
        </w:rPr>
        <w:t>, there was</w:t>
      </w:r>
      <w:r w:rsidR="00D84FCA">
        <w:rPr>
          <w:rFonts w:asciiTheme="minorHAnsi" w:hAnsiTheme="minorHAnsi" w:cstheme="minorHAnsi"/>
          <w:sz w:val="22"/>
          <w:szCs w:val="22"/>
        </w:rPr>
        <w:t xml:space="preserve"> a lack of diligence on the part of the State, the maximum period of detention had been exceeded, there were insufficient grounds for detention or the rights of a minor were </w:t>
      </w:r>
      <w:r w:rsidR="002D1D69">
        <w:rPr>
          <w:rFonts w:asciiTheme="minorHAnsi" w:hAnsiTheme="minorHAnsi" w:cstheme="minorHAnsi"/>
          <w:sz w:val="22"/>
          <w:szCs w:val="22"/>
        </w:rPr>
        <w:t>violat</w:t>
      </w:r>
      <w:r w:rsidR="00D84FCA">
        <w:rPr>
          <w:rFonts w:asciiTheme="minorHAnsi" w:hAnsiTheme="minorHAnsi" w:cstheme="minorHAnsi"/>
          <w:sz w:val="22"/>
          <w:szCs w:val="22"/>
        </w:rPr>
        <w:t xml:space="preserve">ed. The </w:t>
      </w:r>
      <w:r w:rsidR="002D1D69">
        <w:rPr>
          <w:rFonts w:asciiTheme="minorHAnsi" w:hAnsiTheme="minorHAnsi" w:cstheme="minorHAnsi"/>
          <w:sz w:val="22"/>
          <w:szCs w:val="22"/>
        </w:rPr>
        <w:t xml:space="preserve">judge could </w:t>
      </w:r>
      <w:r w:rsidR="00B51D01">
        <w:rPr>
          <w:rFonts w:asciiTheme="minorHAnsi" w:hAnsiTheme="minorHAnsi" w:cstheme="minorHAnsi"/>
          <w:sz w:val="22"/>
          <w:szCs w:val="22"/>
        </w:rPr>
        <w:t>only</w:t>
      </w:r>
      <w:r w:rsidR="002D1D69">
        <w:rPr>
          <w:rFonts w:asciiTheme="minorHAnsi" w:hAnsiTheme="minorHAnsi" w:cstheme="minorHAnsi"/>
          <w:sz w:val="22"/>
          <w:szCs w:val="22"/>
        </w:rPr>
        <w:t xml:space="preserve"> end the unlawful detention </w:t>
      </w:r>
      <w:r w:rsidR="00B51D01">
        <w:rPr>
          <w:rFonts w:asciiTheme="minorHAnsi" w:hAnsiTheme="minorHAnsi" w:cstheme="minorHAnsi"/>
          <w:sz w:val="22"/>
          <w:szCs w:val="22"/>
        </w:rPr>
        <w:t xml:space="preserve">by </w:t>
      </w:r>
      <w:r w:rsidR="002D1D69">
        <w:rPr>
          <w:rFonts w:asciiTheme="minorHAnsi" w:hAnsiTheme="minorHAnsi" w:cstheme="minorHAnsi"/>
          <w:sz w:val="22"/>
          <w:szCs w:val="22"/>
        </w:rPr>
        <w:t>act</w:t>
      </w:r>
      <w:r w:rsidR="00B51D01">
        <w:rPr>
          <w:rFonts w:asciiTheme="minorHAnsi" w:hAnsiTheme="minorHAnsi" w:cstheme="minorHAnsi"/>
          <w:sz w:val="22"/>
          <w:szCs w:val="22"/>
        </w:rPr>
        <w:t>ing</w:t>
      </w:r>
      <w:r w:rsidR="002D1D69">
        <w:rPr>
          <w:rFonts w:asciiTheme="minorHAnsi" w:hAnsiTheme="minorHAnsi" w:cstheme="minorHAnsi"/>
          <w:sz w:val="22"/>
          <w:szCs w:val="22"/>
        </w:rPr>
        <w:t xml:space="preserve"> contrary to</w:t>
      </w:r>
      <w:r w:rsidR="00D15D8E">
        <w:rPr>
          <w:rFonts w:asciiTheme="minorHAnsi" w:hAnsiTheme="minorHAnsi" w:cstheme="minorHAnsi"/>
          <w:sz w:val="22"/>
          <w:szCs w:val="22"/>
        </w:rPr>
        <w:t xml:space="preserve"> the current restrictive interpretation of</w:t>
      </w:r>
      <w:r w:rsidR="002D1D69">
        <w:rPr>
          <w:rFonts w:asciiTheme="minorHAnsi" w:hAnsiTheme="minorHAnsi" w:cstheme="minorHAnsi"/>
          <w:sz w:val="22"/>
          <w:szCs w:val="22"/>
        </w:rPr>
        <w:t xml:space="preserve"> Article 8:69 GALA. The </w:t>
      </w:r>
      <w:r w:rsidR="00D84FCA">
        <w:rPr>
          <w:rFonts w:asciiTheme="minorHAnsi" w:hAnsiTheme="minorHAnsi" w:cstheme="minorHAnsi"/>
          <w:sz w:val="22"/>
          <w:szCs w:val="22"/>
        </w:rPr>
        <w:t>Secre</w:t>
      </w:r>
      <w:r w:rsidR="002D1D69">
        <w:rPr>
          <w:rFonts w:asciiTheme="minorHAnsi" w:hAnsiTheme="minorHAnsi" w:cstheme="minorHAnsi"/>
          <w:sz w:val="22"/>
          <w:szCs w:val="22"/>
        </w:rPr>
        <w:t xml:space="preserve">tary of State lodged a higher appeal against all the judgments discussed in our five examples. In three of the higher appeals the Council of State ruled that the District Court had exceeded its competence by conducting an </w:t>
      </w:r>
      <w:r w:rsidR="002D1D69" w:rsidRPr="002D1D69">
        <w:rPr>
          <w:rFonts w:asciiTheme="minorHAnsi" w:hAnsiTheme="minorHAnsi" w:cstheme="minorHAnsi"/>
          <w:i/>
          <w:iCs/>
          <w:sz w:val="22"/>
          <w:szCs w:val="22"/>
        </w:rPr>
        <w:t>ex officio</w:t>
      </w:r>
      <w:r w:rsidR="002D1D69">
        <w:rPr>
          <w:rFonts w:asciiTheme="minorHAnsi" w:hAnsiTheme="minorHAnsi" w:cstheme="minorHAnsi"/>
          <w:sz w:val="22"/>
          <w:szCs w:val="22"/>
        </w:rPr>
        <w:t xml:space="preserve"> review.</w:t>
      </w:r>
      <w:r w:rsidR="00B51D01">
        <w:rPr>
          <w:rStyle w:val="FootnoteReference"/>
          <w:rFonts w:asciiTheme="minorHAnsi" w:hAnsiTheme="minorHAnsi" w:cstheme="minorHAnsi"/>
          <w:sz w:val="22"/>
          <w:szCs w:val="22"/>
        </w:rPr>
        <w:footnoteReference w:id="114"/>
      </w:r>
      <w:r w:rsidR="002D1D69">
        <w:rPr>
          <w:rFonts w:asciiTheme="minorHAnsi" w:hAnsiTheme="minorHAnsi" w:cstheme="minorHAnsi"/>
          <w:sz w:val="22"/>
          <w:szCs w:val="22"/>
        </w:rPr>
        <w:t xml:space="preserve"> </w:t>
      </w:r>
    </w:p>
    <w:p w14:paraId="4ED554E2" w14:textId="32B73C87" w:rsidR="00C37E74" w:rsidRDefault="002D1D69" w:rsidP="007E50DD">
      <w:pPr>
        <w:spacing w:line="276" w:lineRule="auto"/>
        <w:ind w:firstLine="720"/>
        <w:jc w:val="both"/>
        <w:rPr>
          <w:rFonts w:asciiTheme="minorHAnsi" w:hAnsiTheme="minorHAnsi" w:cstheme="minorHAnsi"/>
          <w:sz w:val="22"/>
          <w:szCs w:val="22"/>
        </w:rPr>
      </w:pPr>
      <w:r>
        <w:rPr>
          <w:rFonts w:asciiTheme="minorHAnsi" w:hAnsiTheme="minorHAnsi" w:cstheme="minorHAnsi"/>
          <w:sz w:val="22"/>
          <w:szCs w:val="22"/>
        </w:rPr>
        <w:t>The divergent practice between the District</w:t>
      </w:r>
      <w:r w:rsidR="00D84FCA">
        <w:rPr>
          <w:rFonts w:asciiTheme="minorHAnsi" w:hAnsiTheme="minorHAnsi" w:cstheme="minorHAnsi"/>
          <w:sz w:val="22"/>
          <w:szCs w:val="22"/>
        </w:rPr>
        <w:t xml:space="preserve"> </w:t>
      </w:r>
      <w:r>
        <w:rPr>
          <w:rFonts w:asciiTheme="minorHAnsi" w:hAnsiTheme="minorHAnsi" w:cstheme="minorHAnsi"/>
          <w:sz w:val="22"/>
          <w:szCs w:val="22"/>
        </w:rPr>
        <w:t xml:space="preserve">Courts leads to differences in </w:t>
      </w:r>
      <w:r w:rsidR="0046067F">
        <w:rPr>
          <w:rFonts w:asciiTheme="minorHAnsi" w:hAnsiTheme="minorHAnsi" w:cstheme="minorHAnsi"/>
          <w:sz w:val="22"/>
          <w:szCs w:val="22"/>
        </w:rPr>
        <w:t xml:space="preserve">judicial </w:t>
      </w:r>
      <w:r>
        <w:rPr>
          <w:rFonts w:asciiTheme="minorHAnsi" w:hAnsiTheme="minorHAnsi" w:cstheme="minorHAnsi"/>
          <w:sz w:val="22"/>
          <w:szCs w:val="22"/>
        </w:rPr>
        <w:t xml:space="preserve">protection of detained </w:t>
      </w:r>
      <w:r w:rsidR="00C37E74">
        <w:rPr>
          <w:rFonts w:asciiTheme="minorHAnsi" w:hAnsiTheme="minorHAnsi" w:cstheme="minorHAnsi"/>
          <w:sz w:val="22"/>
          <w:szCs w:val="22"/>
        </w:rPr>
        <w:t>TCNs in the Netherlands</w:t>
      </w:r>
      <w:r>
        <w:rPr>
          <w:rFonts w:asciiTheme="minorHAnsi" w:hAnsiTheme="minorHAnsi" w:cstheme="minorHAnsi"/>
          <w:sz w:val="22"/>
          <w:szCs w:val="22"/>
        </w:rPr>
        <w:t xml:space="preserve">. Moreover, </w:t>
      </w:r>
      <w:r w:rsidR="0046067F">
        <w:rPr>
          <w:rFonts w:asciiTheme="minorHAnsi" w:hAnsiTheme="minorHAnsi" w:cstheme="minorHAnsi"/>
          <w:sz w:val="22"/>
          <w:szCs w:val="22"/>
        </w:rPr>
        <w:t xml:space="preserve">as </w:t>
      </w:r>
      <w:r>
        <w:rPr>
          <w:rFonts w:asciiTheme="minorHAnsi" w:hAnsiTheme="minorHAnsi" w:cstheme="minorHAnsi"/>
          <w:sz w:val="22"/>
          <w:szCs w:val="22"/>
        </w:rPr>
        <w:t xml:space="preserve">this expert opinion demonstrated in Chapter 3, important differences </w:t>
      </w:r>
      <w:r w:rsidR="00020B0F">
        <w:rPr>
          <w:rFonts w:asciiTheme="minorHAnsi" w:hAnsiTheme="minorHAnsi" w:cstheme="minorHAnsi"/>
          <w:sz w:val="22"/>
          <w:szCs w:val="22"/>
        </w:rPr>
        <w:t xml:space="preserve">exist </w:t>
      </w:r>
      <w:r>
        <w:rPr>
          <w:rFonts w:asciiTheme="minorHAnsi" w:hAnsiTheme="minorHAnsi" w:cstheme="minorHAnsi"/>
          <w:sz w:val="22"/>
          <w:szCs w:val="22"/>
        </w:rPr>
        <w:t xml:space="preserve">between the systems of judicial review in European States. </w:t>
      </w:r>
      <w:r w:rsidR="00A44D95">
        <w:rPr>
          <w:rFonts w:asciiTheme="minorHAnsi" w:hAnsiTheme="minorHAnsi" w:cstheme="minorHAnsi"/>
          <w:sz w:val="22"/>
          <w:szCs w:val="22"/>
        </w:rPr>
        <w:t>Belgium and France have system</w:t>
      </w:r>
      <w:r w:rsidR="00C37E74">
        <w:rPr>
          <w:rFonts w:asciiTheme="minorHAnsi" w:hAnsiTheme="minorHAnsi" w:cstheme="minorHAnsi"/>
          <w:sz w:val="22"/>
          <w:szCs w:val="22"/>
        </w:rPr>
        <w:t>s of judicial review</w:t>
      </w:r>
      <w:r w:rsidR="0046067F">
        <w:rPr>
          <w:rFonts w:asciiTheme="minorHAnsi" w:hAnsiTheme="minorHAnsi" w:cstheme="minorHAnsi"/>
          <w:sz w:val="22"/>
          <w:szCs w:val="22"/>
        </w:rPr>
        <w:t xml:space="preserve"> that</w:t>
      </w:r>
      <w:r w:rsidR="00A44D95">
        <w:rPr>
          <w:rFonts w:asciiTheme="minorHAnsi" w:hAnsiTheme="minorHAnsi" w:cstheme="minorHAnsi"/>
          <w:sz w:val="22"/>
          <w:szCs w:val="22"/>
        </w:rPr>
        <w:t xml:space="preserve"> </w:t>
      </w:r>
      <w:r w:rsidR="00C37E74">
        <w:rPr>
          <w:rFonts w:asciiTheme="minorHAnsi" w:hAnsiTheme="minorHAnsi" w:cstheme="minorHAnsi"/>
          <w:sz w:val="22"/>
          <w:szCs w:val="22"/>
        </w:rPr>
        <w:t>are</w:t>
      </w:r>
      <w:r w:rsidR="00A44D95">
        <w:rPr>
          <w:rFonts w:asciiTheme="minorHAnsi" w:hAnsiTheme="minorHAnsi" w:cstheme="minorHAnsi"/>
          <w:sz w:val="22"/>
          <w:szCs w:val="22"/>
        </w:rPr>
        <w:t xml:space="preserve"> similar to th</w:t>
      </w:r>
      <w:r w:rsidR="00C37E74">
        <w:rPr>
          <w:rFonts w:asciiTheme="minorHAnsi" w:hAnsiTheme="minorHAnsi" w:cstheme="minorHAnsi"/>
          <w:sz w:val="22"/>
          <w:szCs w:val="22"/>
        </w:rPr>
        <w:t>e Dutch system</w:t>
      </w:r>
      <w:r w:rsidR="00A44D95">
        <w:rPr>
          <w:rFonts w:asciiTheme="minorHAnsi" w:hAnsiTheme="minorHAnsi" w:cstheme="minorHAnsi"/>
          <w:sz w:val="22"/>
          <w:szCs w:val="22"/>
        </w:rPr>
        <w:t xml:space="preserve">. Detention judges do not have the competence to review </w:t>
      </w:r>
      <w:r w:rsidR="0046067F">
        <w:rPr>
          <w:rFonts w:asciiTheme="minorHAnsi" w:hAnsiTheme="minorHAnsi" w:cstheme="minorHAnsi"/>
          <w:sz w:val="22"/>
          <w:szCs w:val="22"/>
        </w:rPr>
        <w:t xml:space="preserve">all </w:t>
      </w:r>
      <w:r w:rsidR="00A44D95">
        <w:rPr>
          <w:rFonts w:asciiTheme="minorHAnsi" w:hAnsiTheme="minorHAnsi" w:cstheme="minorHAnsi"/>
          <w:sz w:val="22"/>
          <w:szCs w:val="22"/>
        </w:rPr>
        <w:t xml:space="preserve">aspects of a detention measure </w:t>
      </w:r>
      <w:r w:rsidR="00A44D95" w:rsidRPr="00A44D95">
        <w:rPr>
          <w:rFonts w:asciiTheme="minorHAnsi" w:hAnsiTheme="minorHAnsi" w:cstheme="minorHAnsi"/>
          <w:i/>
          <w:iCs/>
          <w:sz w:val="22"/>
          <w:szCs w:val="22"/>
        </w:rPr>
        <w:t>ex officio</w:t>
      </w:r>
      <w:r w:rsidR="00A44D95">
        <w:rPr>
          <w:rFonts w:asciiTheme="minorHAnsi" w:hAnsiTheme="minorHAnsi" w:cstheme="minorHAnsi"/>
          <w:sz w:val="22"/>
          <w:szCs w:val="22"/>
        </w:rPr>
        <w:t xml:space="preserve">. </w:t>
      </w:r>
      <w:r w:rsidR="00B51D01">
        <w:rPr>
          <w:rFonts w:asciiTheme="minorHAnsi" w:hAnsiTheme="minorHAnsi" w:cstheme="minorHAnsi"/>
          <w:sz w:val="22"/>
          <w:szCs w:val="22"/>
        </w:rPr>
        <w:t>T</w:t>
      </w:r>
      <w:r w:rsidR="00A44D95">
        <w:rPr>
          <w:rFonts w:asciiTheme="minorHAnsi" w:hAnsiTheme="minorHAnsi" w:cstheme="minorHAnsi"/>
          <w:sz w:val="22"/>
          <w:szCs w:val="22"/>
        </w:rPr>
        <w:t xml:space="preserve">hey can conduct an </w:t>
      </w:r>
      <w:r w:rsidR="00A44D95" w:rsidRPr="00A44D95">
        <w:rPr>
          <w:rFonts w:asciiTheme="minorHAnsi" w:hAnsiTheme="minorHAnsi" w:cstheme="minorHAnsi"/>
          <w:i/>
          <w:iCs/>
          <w:sz w:val="22"/>
          <w:szCs w:val="22"/>
        </w:rPr>
        <w:t>ex officio</w:t>
      </w:r>
      <w:r w:rsidR="00A44D95">
        <w:rPr>
          <w:rFonts w:asciiTheme="minorHAnsi" w:hAnsiTheme="minorHAnsi" w:cstheme="minorHAnsi"/>
          <w:sz w:val="22"/>
          <w:szCs w:val="22"/>
        </w:rPr>
        <w:t xml:space="preserve"> review of provisions</w:t>
      </w:r>
      <w:r w:rsidR="0046067F">
        <w:rPr>
          <w:rFonts w:asciiTheme="minorHAnsi" w:hAnsiTheme="minorHAnsi" w:cstheme="minorHAnsi"/>
          <w:sz w:val="22"/>
          <w:szCs w:val="22"/>
        </w:rPr>
        <w:t xml:space="preserve"> that</w:t>
      </w:r>
      <w:r w:rsidR="00A44D95">
        <w:rPr>
          <w:rFonts w:asciiTheme="minorHAnsi" w:hAnsiTheme="minorHAnsi" w:cstheme="minorHAnsi"/>
          <w:sz w:val="22"/>
          <w:szCs w:val="22"/>
        </w:rPr>
        <w:t xml:space="preserve"> are considered to be of ‘public order’. The detention measure is examined on the basis of the grounds of appeal submitted by the TCN. In the United Kingdom</w:t>
      </w:r>
      <w:r w:rsidR="00634BA8">
        <w:rPr>
          <w:rFonts w:asciiTheme="minorHAnsi" w:hAnsiTheme="minorHAnsi" w:cstheme="minorHAnsi"/>
          <w:sz w:val="22"/>
          <w:szCs w:val="22"/>
        </w:rPr>
        <w:t>,</w:t>
      </w:r>
      <w:r w:rsidR="00A44D95">
        <w:rPr>
          <w:rFonts w:asciiTheme="minorHAnsi" w:hAnsiTheme="minorHAnsi" w:cstheme="minorHAnsi"/>
          <w:sz w:val="22"/>
          <w:szCs w:val="22"/>
        </w:rPr>
        <w:t xml:space="preserve"> the High Court can only conduct a judicial review of a detention measure if permission is granted to the TCN because </w:t>
      </w:r>
      <w:r w:rsidR="00A44D95" w:rsidRPr="001D15EE">
        <w:rPr>
          <w:rFonts w:asciiTheme="minorHAnsi" w:eastAsia="Calibri" w:hAnsiTheme="minorHAnsi" w:cstheme="minorHAnsi"/>
          <w:sz w:val="22"/>
          <w:szCs w:val="22"/>
        </w:rPr>
        <w:t xml:space="preserve">there is an arguable public law error in </w:t>
      </w:r>
      <w:r w:rsidR="00A44D95">
        <w:rPr>
          <w:rFonts w:asciiTheme="minorHAnsi" w:eastAsia="Calibri" w:hAnsiTheme="minorHAnsi" w:cstheme="minorHAnsi"/>
          <w:sz w:val="22"/>
          <w:szCs w:val="22"/>
        </w:rPr>
        <w:t>the detention</w:t>
      </w:r>
      <w:r w:rsidR="00A44D95" w:rsidRPr="001D15EE">
        <w:rPr>
          <w:rFonts w:asciiTheme="minorHAnsi" w:eastAsia="Calibri" w:hAnsiTheme="minorHAnsi" w:cstheme="minorHAnsi"/>
          <w:sz w:val="22"/>
          <w:szCs w:val="22"/>
        </w:rPr>
        <w:t xml:space="preserve"> decision</w:t>
      </w:r>
      <w:r w:rsidR="00A44D95">
        <w:rPr>
          <w:rFonts w:asciiTheme="minorHAnsi" w:hAnsiTheme="minorHAnsi" w:cstheme="minorHAnsi"/>
          <w:sz w:val="22"/>
          <w:szCs w:val="22"/>
        </w:rPr>
        <w:t xml:space="preserve">. The High Court rules on the basis of the grounds put before it by the TCN and </w:t>
      </w:r>
      <w:r w:rsidR="00C37E74">
        <w:rPr>
          <w:rFonts w:asciiTheme="minorHAnsi" w:hAnsiTheme="minorHAnsi" w:cstheme="minorHAnsi"/>
          <w:sz w:val="22"/>
          <w:szCs w:val="22"/>
        </w:rPr>
        <w:t>examines the (Wednesbury) reasonableness of the detention measure.</w:t>
      </w:r>
      <w:r w:rsidR="00047AC9">
        <w:rPr>
          <w:rFonts w:asciiTheme="minorHAnsi" w:hAnsiTheme="minorHAnsi" w:cstheme="minorHAnsi"/>
          <w:sz w:val="22"/>
          <w:szCs w:val="22"/>
        </w:rPr>
        <w:t xml:space="preserve"> </w:t>
      </w:r>
    </w:p>
    <w:p w14:paraId="03B8DD30" w14:textId="3A99D74B" w:rsidR="00C37E74" w:rsidRPr="001D15EE" w:rsidRDefault="00634BA8" w:rsidP="00C37E74">
      <w:pPr>
        <w:spacing w:line="276" w:lineRule="auto"/>
        <w:ind w:firstLine="720"/>
        <w:jc w:val="both"/>
        <w:rPr>
          <w:rFonts w:asciiTheme="minorHAnsi" w:hAnsiTheme="minorHAnsi" w:cstheme="minorHAnsi"/>
          <w:sz w:val="22"/>
          <w:szCs w:val="22"/>
        </w:rPr>
      </w:pPr>
      <w:r>
        <w:rPr>
          <w:rFonts w:asciiTheme="minorHAnsi" w:hAnsiTheme="minorHAnsi" w:cstheme="minorHAnsi"/>
          <w:sz w:val="22"/>
          <w:szCs w:val="22"/>
        </w:rPr>
        <w:t>The level of protection for detained TCNs is higher in</w:t>
      </w:r>
      <w:r w:rsidR="00C37E74">
        <w:rPr>
          <w:rFonts w:asciiTheme="minorHAnsi" w:hAnsiTheme="minorHAnsi" w:cstheme="minorHAnsi"/>
          <w:sz w:val="22"/>
          <w:szCs w:val="22"/>
        </w:rPr>
        <w:t xml:space="preserve"> Germany and Austria</w:t>
      </w:r>
      <w:r>
        <w:rPr>
          <w:rFonts w:asciiTheme="minorHAnsi" w:hAnsiTheme="minorHAnsi" w:cstheme="minorHAnsi"/>
          <w:sz w:val="22"/>
          <w:szCs w:val="22"/>
        </w:rPr>
        <w:t>. In those countries,</w:t>
      </w:r>
      <w:r w:rsidR="00C37E74">
        <w:rPr>
          <w:rFonts w:asciiTheme="minorHAnsi" w:hAnsiTheme="minorHAnsi" w:cstheme="minorHAnsi"/>
          <w:sz w:val="22"/>
          <w:szCs w:val="22"/>
        </w:rPr>
        <w:t xml:space="preserve"> the detention courts examine detention of TCNs </w:t>
      </w:r>
      <w:r w:rsidR="00C37E74" w:rsidRPr="00C37E74">
        <w:rPr>
          <w:rFonts w:asciiTheme="minorHAnsi" w:hAnsiTheme="minorHAnsi" w:cstheme="minorHAnsi"/>
          <w:i/>
          <w:iCs/>
          <w:sz w:val="22"/>
          <w:szCs w:val="22"/>
        </w:rPr>
        <w:t>ex officio</w:t>
      </w:r>
      <w:r w:rsidR="00C37E74">
        <w:rPr>
          <w:rFonts w:asciiTheme="minorHAnsi" w:hAnsiTheme="minorHAnsi" w:cstheme="minorHAnsi"/>
          <w:sz w:val="22"/>
          <w:szCs w:val="22"/>
        </w:rPr>
        <w:t xml:space="preserve">. </w:t>
      </w:r>
      <w:r w:rsidR="00D15D8E">
        <w:rPr>
          <w:rFonts w:asciiTheme="minorHAnsi" w:hAnsiTheme="minorHAnsi" w:cstheme="minorHAnsi"/>
          <w:sz w:val="22"/>
          <w:szCs w:val="22"/>
        </w:rPr>
        <w:t xml:space="preserve">In Germany, the Constitution requires that a judge orders and prolongs a detention measure, and as such all aspects of the lawfulness of a detention measure ae subject to judicial scrutiny </w:t>
      </w:r>
      <w:r w:rsidR="00C37E74">
        <w:rPr>
          <w:rFonts w:asciiTheme="minorHAnsi" w:hAnsiTheme="minorHAnsi" w:cstheme="minorHAnsi"/>
          <w:sz w:val="22"/>
          <w:szCs w:val="22"/>
        </w:rPr>
        <w:t xml:space="preserve">In Austria, detention judges apply a </w:t>
      </w:r>
      <w:r w:rsidR="006E6134">
        <w:rPr>
          <w:rFonts w:asciiTheme="minorHAnsi" w:hAnsiTheme="minorHAnsi" w:cstheme="minorHAnsi"/>
          <w:sz w:val="22"/>
          <w:szCs w:val="22"/>
        </w:rPr>
        <w:t>forward-looking</w:t>
      </w:r>
      <w:r w:rsidR="00C37E74">
        <w:rPr>
          <w:rFonts w:asciiTheme="minorHAnsi" w:hAnsiTheme="minorHAnsi" w:cstheme="minorHAnsi"/>
          <w:sz w:val="22"/>
          <w:szCs w:val="22"/>
        </w:rPr>
        <w:t xml:space="preserve"> </w:t>
      </w:r>
      <w:r w:rsidR="00C37E74" w:rsidRPr="00C37E74">
        <w:rPr>
          <w:rFonts w:asciiTheme="minorHAnsi" w:hAnsiTheme="minorHAnsi" w:cstheme="minorHAnsi"/>
          <w:i/>
          <w:iCs/>
          <w:sz w:val="22"/>
          <w:szCs w:val="22"/>
        </w:rPr>
        <w:lastRenderedPageBreak/>
        <w:t>ex officio</w:t>
      </w:r>
      <w:r w:rsidR="00C37E74">
        <w:rPr>
          <w:rFonts w:asciiTheme="minorHAnsi" w:hAnsiTheme="minorHAnsi" w:cstheme="minorHAnsi"/>
          <w:sz w:val="22"/>
          <w:szCs w:val="22"/>
        </w:rPr>
        <w:t xml:space="preserve"> review. They examine </w:t>
      </w:r>
      <w:r w:rsidR="00C37E74" w:rsidRPr="00C37E74">
        <w:rPr>
          <w:rFonts w:asciiTheme="minorHAnsi" w:hAnsiTheme="minorHAnsi" w:cstheme="minorHAnsi"/>
          <w:i/>
          <w:iCs/>
          <w:sz w:val="22"/>
          <w:szCs w:val="22"/>
        </w:rPr>
        <w:t>ex officio</w:t>
      </w:r>
      <w:r w:rsidR="00C37E74">
        <w:rPr>
          <w:rFonts w:asciiTheme="minorHAnsi" w:hAnsiTheme="minorHAnsi" w:cstheme="minorHAnsi"/>
          <w:sz w:val="22"/>
          <w:szCs w:val="22"/>
        </w:rPr>
        <w:t xml:space="preserve"> whether </w:t>
      </w:r>
      <w:r w:rsidR="00C37E74" w:rsidRPr="00663149">
        <w:rPr>
          <w:rFonts w:asciiTheme="minorHAnsi" w:hAnsiTheme="minorHAnsi" w:cstheme="minorHAnsi"/>
          <w:sz w:val="22"/>
          <w:szCs w:val="22"/>
        </w:rPr>
        <w:t>it is necessary and reasonable</w:t>
      </w:r>
      <w:r w:rsidR="00C37E74" w:rsidRPr="00916826">
        <w:rPr>
          <w:rFonts w:asciiTheme="minorHAnsi" w:hAnsiTheme="minorHAnsi" w:cstheme="minorHAnsi"/>
          <w:sz w:val="22"/>
          <w:szCs w:val="22"/>
        </w:rPr>
        <w:t xml:space="preserve"> to maintain the detention order in force</w:t>
      </w:r>
      <w:r w:rsidR="00C37E74">
        <w:rPr>
          <w:rFonts w:asciiTheme="minorHAnsi" w:hAnsiTheme="minorHAnsi" w:cstheme="minorHAnsi"/>
          <w:sz w:val="22"/>
          <w:szCs w:val="22"/>
        </w:rPr>
        <w:t>.</w:t>
      </w:r>
      <w:r>
        <w:rPr>
          <w:rFonts w:asciiTheme="minorHAnsi" w:hAnsiTheme="minorHAnsi" w:cstheme="minorHAnsi"/>
          <w:sz w:val="22"/>
          <w:szCs w:val="22"/>
        </w:rPr>
        <w:t xml:space="preserve"> The </w:t>
      </w:r>
      <w:r w:rsidR="00B51D01">
        <w:rPr>
          <w:rFonts w:asciiTheme="minorHAnsi" w:hAnsiTheme="minorHAnsi" w:cstheme="minorHAnsi"/>
          <w:sz w:val="22"/>
          <w:szCs w:val="22"/>
        </w:rPr>
        <w:t xml:space="preserve">review of the </w:t>
      </w:r>
      <w:r>
        <w:rPr>
          <w:rFonts w:asciiTheme="minorHAnsi" w:hAnsiTheme="minorHAnsi" w:cstheme="minorHAnsi"/>
          <w:sz w:val="22"/>
          <w:szCs w:val="22"/>
        </w:rPr>
        <w:t>lawfulness of the detention, which has already been executed</w:t>
      </w:r>
      <w:r w:rsidR="0046067F">
        <w:rPr>
          <w:rFonts w:asciiTheme="minorHAnsi" w:hAnsiTheme="minorHAnsi" w:cstheme="minorHAnsi"/>
          <w:sz w:val="22"/>
          <w:szCs w:val="22"/>
        </w:rPr>
        <w:t>,</w:t>
      </w:r>
      <w:r>
        <w:rPr>
          <w:rFonts w:asciiTheme="minorHAnsi" w:hAnsiTheme="minorHAnsi" w:cstheme="minorHAnsi"/>
          <w:sz w:val="22"/>
          <w:szCs w:val="22"/>
        </w:rPr>
        <w:t xml:space="preserve"> is based on the grounds submitted by the TCN in the appeal.</w:t>
      </w:r>
      <w:r w:rsidR="00047AC9">
        <w:rPr>
          <w:rFonts w:asciiTheme="minorHAnsi" w:hAnsiTheme="minorHAnsi" w:cstheme="minorHAnsi"/>
          <w:sz w:val="22"/>
          <w:szCs w:val="22"/>
        </w:rPr>
        <w:t xml:space="preserve"> </w:t>
      </w:r>
    </w:p>
    <w:p w14:paraId="6050345E" w14:textId="72C74008" w:rsidR="00555FA2" w:rsidRPr="005F2372" w:rsidRDefault="0043347F" w:rsidP="0043347F">
      <w:pPr>
        <w:spacing w:line="276" w:lineRule="auto"/>
        <w:ind w:firstLine="708"/>
        <w:jc w:val="both"/>
        <w:rPr>
          <w:rFonts w:asciiTheme="minorHAnsi" w:eastAsia="Calibri" w:hAnsiTheme="minorHAnsi" w:cstheme="minorHAnsi"/>
          <w:sz w:val="22"/>
          <w:szCs w:val="22"/>
        </w:rPr>
      </w:pPr>
      <w:r>
        <w:rPr>
          <w:rFonts w:asciiTheme="minorHAnsi" w:hAnsiTheme="minorHAnsi" w:cstheme="minorHAnsi"/>
          <w:sz w:val="22"/>
          <w:szCs w:val="22"/>
        </w:rPr>
        <w:t xml:space="preserve">The Dutch prohibition of </w:t>
      </w:r>
      <w:r w:rsidRPr="0043347F">
        <w:rPr>
          <w:rFonts w:asciiTheme="minorHAnsi" w:hAnsiTheme="minorHAnsi" w:cstheme="minorHAnsi"/>
          <w:i/>
          <w:iCs/>
          <w:sz w:val="22"/>
          <w:szCs w:val="22"/>
        </w:rPr>
        <w:t>ex officio</w:t>
      </w:r>
      <w:r>
        <w:rPr>
          <w:rFonts w:asciiTheme="minorHAnsi" w:hAnsiTheme="minorHAnsi" w:cstheme="minorHAnsi"/>
          <w:sz w:val="22"/>
          <w:szCs w:val="22"/>
        </w:rPr>
        <w:t xml:space="preserve"> review </w:t>
      </w:r>
      <w:r w:rsidRPr="001D15EE">
        <w:rPr>
          <w:rFonts w:asciiTheme="minorHAnsi" w:hAnsiTheme="minorHAnsi" w:cstheme="minorHAnsi"/>
          <w:sz w:val="22"/>
          <w:szCs w:val="22"/>
        </w:rPr>
        <w:t xml:space="preserve">can be remedied if the CJEU rules that the current </w:t>
      </w:r>
      <w:r>
        <w:rPr>
          <w:rFonts w:asciiTheme="minorHAnsi" w:hAnsiTheme="minorHAnsi" w:cstheme="minorHAnsi"/>
          <w:sz w:val="22"/>
          <w:szCs w:val="22"/>
        </w:rPr>
        <w:t xml:space="preserve">restrictive </w:t>
      </w:r>
      <w:r w:rsidRPr="001D15EE">
        <w:rPr>
          <w:rFonts w:asciiTheme="minorHAnsi" w:hAnsiTheme="minorHAnsi" w:cstheme="minorHAnsi"/>
          <w:sz w:val="22"/>
          <w:szCs w:val="22"/>
        </w:rPr>
        <w:t xml:space="preserve">interpretation of Article 8:69 GALA does not comply with </w:t>
      </w:r>
      <w:r>
        <w:rPr>
          <w:rFonts w:asciiTheme="minorHAnsi" w:hAnsiTheme="minorHAnsi" w:cstheme="minorHAnsi"/>
          <w:sz w:val="22"/>
          <w:szCs w:val="22"/>
        </w:rPr>
        <w:t>Article 15 Return Directive read in light of Articles 6 and 47 of the Charter</w:t>
      </w:r>
      <w:r w:rsidRPr="001D15EE">
        <w:rPr>
          <w:rFonts w:asciiTheme="minorHAnsi" w:hAnsiTheme="minorHAnsi" w:cstheme="minorHAnsi"/>
          <w:sz w:val="22"/>
          <w:szCs w:val="22"/>
        </w:rPr>
        <w:t>.</w:t>
      </w:r>
      <w:r>
        <w:rPr>
          <w:rFonts w:asciiTheme="minorHAnsi" w:hAnsiTheme="minorHAnsi" w:cstheme="minorHAnsi"/>
          <w:sz w:val="22"/>
          <w:szCs w:val="22"/>
        </w:rPr>
        <w:t xml:space="preserve"> Only then will Dutch District Courts </w:t>
      </w:r>
      <w:r w:rsidR="0046067F">
        <w:rPr>
          <w:rFonts w:asciiTheme="minorHAnsi" w:hAnsiTheme="minorHAnsi" w:cstheme="minorHAnsi"/>
          <w:sz w:val="22"/>
          <w:szCs w:val="22"/>
        </w:rPr>
        <w:t xml:space="preserve">be </w:t>
      </w:r>
      <w:r>
        <w:rPr>
          <w:rFonts w:asciiTheme="minorHAnsi" w:hAnsiTheme="minorHAnsi" w:cstheme="minorHAnsi"/>
          <w:sz w:val="22"/>
          <w:szCs w:val="22"/>
        </w:rPr>
        <w:t>able to end a</w:t>
      </w:r>
      <w:r w:rsidR="0046067F">
        <w:rPr>
          <w:rFonts w:asciiTheme="minorHAnsi" w:hAnsiTheme="minorHAnsi" w:cstheme="minorHAnsi"/>
          <w:sz w:val="22"/>
          <w:szCs w:val="22"/>
        </w:rPr>
        <w:t>n unlawful</w:t>
      </w:r>
      <w:r>
        <w:rPr>
          <w:rFonts w:asciiTheme="minorHAnsi" w:hAnsiTheme="minorHAnsi" w:cstheme="minorHAnsi"/>
          <w:sz w:val="22"/>
          <w:szCs w:val="22"/>
        </w:rPr>
        <w:t xml:space="preserve"> detention </w:t>
      </w:r>
      <w:r w:rsidR="0046067F">
        <w:rPr>
          <w:rFonts w:asciiTheme="minorHAnsi" w:hAnsiTheme="minorHAnsi" w:cstheme="minorHAnsi"/>
          <w:sz w:val="22"/>
          <w:szCs w:val="22"/>
        </w:rPr>
        <w:t xml:space="preserve">measure and order the release of the </w:t>
      </w:r>
      <w:r w:rsidR="00020B0F">
        <w:rPr>
          <w:rFonts w:asciiTheme="minorHAnsi" w:hAnsiTheme="minorHAnsi" w:cstheme="minorHAnsi"/>
          <w:sz w:val="22"/>
          <w:szCs w:val="22"/>
        </w:rPr>
        <w:t xml:space="preserve">TCN </w:t>
      </w:r>
      <w:r w:rsidR="0046067F">
        <w:rPr>
          <w:rFonts w:asciiTheme="minorHAnsi" w:hAnsiTheme="minorHAnsi" w:cstheme="minorHAnsi"/>
          <w:sz w:val="22"/>
          <w:szCs w:val="22"/>
        </w:rPr>
        <w:t xml:space="preserve">as required by Article 15 Return Directive </w:t>
      </w:r>
      <w:r>
        <w:rPr>
          <w:rFonts w:asciiTheme="minorHAnsi" w:hAnsiTheme="minorHAnsi" w:cstheme="minorHAnsi"/>
          <w:sz w:val="22"/>
          <w:szCs w:val="22"/>
        </w:rPr>
        <w:t xml:space="preserve">in a situation </w:t>
      </w:r>
      <w:r w:rsidR="00C577E3">
        <w:rPr>
          <w:rFonts w:asciiTheme="minorHAnsi" w:hAnsiTheme="minorHAnsi" w:cstheme="minorHAnsi"/>
          <w:sz w:val="22"/>
          <w:szCs w:val="22"/>
        </w:rPr>
        <w:t xml:space="preserve">in which </w:t>
      </w:r>
      <w:r>
        <w:rPr>
          <w:rFonts w:asciiTheme="minorHAnsi" w:hAnsiTheme="minorHAnsi" w:cstheme="minorHAnsi"/>
          <w:sz w:val="22"/>
          <w:szCs w:val="22"/>
        </w:rPr>
        <w:t xml:space="preserve">the TCN has not submitted the correct appeal grounds. We have demonstrated that such a judgment is also relevant to other Member States, such as Belgium and France. </w:t>
      </w:r>
      <w:r w:rsidR="0046067F">
        <w:rPr>
          <w:rFonts w:asciiTheme="minorHAnsi" w:hAnsiTheme="minorHAnsi" w:cstheme="minorHAnsi"/>
          <w:sz w:val="22"/>
          <w:szCs w:val="22"/>
        </w:rPr>
        <w:t>Moreover, in view of significant divergence</w:t>
      </w:r>
      <w:r w:rsidR="00C577E3">
        <w:rPr>
          <w:rFonts w:asciiTheme="minorHAnsi" w:hAnsiTheme="minorHAnsi" w:cstheme="minorHAnsi"/>
          <w:sz w:val="22"/>
          <w:szCs w:val="22"/>
        </w:rPr>
        <w:t>s</w:t>
      </w:r>
      <w:r w:rsidR="0046067F">
        <w:rPr>
          <w:rFonts w:asciiTheme="minorHAnsi" w:hAnsiTheme="minorHAnsi" w:cstheme="minorHAnsi"/>
          <w:sz w:val="22"/>
          <w:szCs w:val="22"/>
        </w:rPr>
        <w:t xml:space="preserve"> between the Member States </w:t>
      </w:r>
      <w:r w:rsidR="00C577E3">
        <w:rPr>
          <w:rFonts w:asciiTheme="minorHAnsi" w:hAnsiTheme="minorHAnsi" w:cstheme="minorHAnsi"/>
          <w:sz w:val="22"/>
          <w:szCs w:val="22"/>
        </w:rPr>
        <w:t xml:space="preserve">with regard to </w:t>
      </w:r>
      <w:r w:rsidR="0046067F">
        <w:rPr>
          <w:rFonts w:asciiTheme="minorHAnsi" w:hAnsiTheme="minorHAnsi" w:cstheme="minorHAnsi"/>
          <w:sz w:val="22"/>
          <w:szCs w:val="22"/>
        </w:rPr>
        <w:t>th</w:t>
      </w:r>
      <w:r w:rsidR="00020B0F">
        <w:rPr>
          <w:rFonts w:asciiTheme="minorHAnsi" w:hAnsiTheme="minorHAnsi" w:cstheme="minorHAnsi"/>
          <w:sz w:val="22"/>
          <w:szCs w:val="22"/>
        </w:rPr>
        <w:t xml:space="preserve">e scope of </w:t>
      </w:r>
      <w:r w:rsidR="00020B0F" w:rsidRPr="00D15D8E">
        <w:rPr>
          <w:rFonts w:asciiTheme="minorHAnsi" w:hAnsiTheme="minorHAnsi" w:cstheme="minorHAnsi"/>
          <w:i/>
          <w:sz w:val="22"/>
          <w:szCs w:val="22"/>
        </w:rPr>
        <w:t>ex officio</w:t>
      </w:r>
      <w:r w:rsidR="00020B0F">
        <w:rPr>
          <w:rFonts w:asciiTheme="minorHAnsi" w:hAnsiTheme="minorHAnsi" w:cstheme="minorHAnsi"/>
          <w:sz w:val="22"/>
          <w:szCs w:val="22"/>
        </w:rPr>
        <w:t xml:space="preserve"> judicial review of detention </w:t>
      </w:r>
      <w:r w:rsidR="0046067F">
        <w:rPr>
          <w:rFonts w:asciiTheme="minorHAnsi" w:hAnsiTheme="minorHAnsi" w:cstheme="minorHAnsi"/>
          <w:sz w:val="22"/>
          <w:szCs w:val="22"/>
        </w:rPr>
        <w:t>under Article 15 Return Direct</w:t>
      </w:r>
      <w:r w:rsidR="00020B0F">
        <w:rPr>
          <w:rFonts w:asciiTheme="minorHAnsi" w:hAnsiTheme="minorHAnsi" w:cstheme="minorHAnsi"/>
          <w:sz w:val="22"/>
          <w:szCs w:val="22"/>
        </w:rPr>
        <w:t>iv</w:t>
      </w:r>
      <w:r w:rsidR="0046067F">
        <w:rPr>
          <w:rFonts w:asciiTheme="minorHAnsi" w:hAnsiTheme="minorHAnsi" w:cstheme="minorHAnsi"/>
          <w:sz w:val="22"/>
          <w:szCs w:val="22"/>
        </w:rPr>
        <w:t>e</w:t>
      </w:r>
      <w:r w:rsidR="00634BA8">
        <w:rPr>
          <w:rFonts w:asciiTheme="minorHAnsi" w:hAnsiTheme="minorHAnsi" w:cstheme="minorHAnsi"/>
          <w:sz w:val="22"/>
          <w:szCs w:val="22"/>
        </w:rPr>
        <w:t xml:space="preserve">, </w:t>
      </w:r>
      <w:r w:rsidR="00020B0F">
        <w:rPr>
          <w:rFonts w:asciiTheme="minorHAnsi" w:hAnsiTheme="minorHAnsi" w:cstheme="minorHAnsi"/>
          <w:sz w:val="22"/>
          <w:szCs w:val="22"/>
        </w:rPr>
        <w:t xml:space="preserve">a ruling by </w:t>
      </w:r>
      <w:r>
        <w:rPr>
          <w:rFonts w:asciiTheme="minorHAnsi" w:hAnsiTheme="minorHAnsi" w:cstheme="minorHAnsi"/>
          <w:sz w:val="22"/>
          <w:szCs w:val="22"/>
        </w:rPr>
        <w:t xml:space="preserve">the CJEU </w:t>
      </w:r>
      <w:r w:rsidR="00C577E3">
        <w:rPr>
          <w:rFonts w:asciiTheme="minorHAnsi" w:hAnsiTheme="minorHAnsi" w:cstheme="minorHAnsi"/>
          <w:sz w:val="22"/>
          <w:szCs w:val="22"/>
        </w:rPr>
        <w:t xml:space="preserve">will </w:t>
      </w:r>
      <w:r w:rsidR="00020B0F">
        <w:rPr>
          <w:rFonts w:asciiTheme="minorHAnsi" w:hAnsiTheme="minorHAnsi" w:cstheme="minorHAnsi"/>
          <w:sz w:val="22"/>
          <w:szCs w:val="22"/>
        </w:rPr>
        <w:t>ensure uniformity in</w:t>
      </w:r>
      <w:r>
        <w:rPr>
          <w:rFonts w:asciiTheme="minorHAnsi" w:hAnsiTheme="minorHAnsi" w:cstheme="minorHAnsi"/>
          <w:sz w:val="22"/>
          <w:szCs w:val="22"/>
        </w:rPr>
        <w:t xml:space="preserve"> the </w:t>
      </w:r>
      <w:r w:rsidR="00634BA8">
        <w:rPr>
          <w:rFonts w:asciiTheme="minorHAnsi" w:hAnsiTheme="minorHAnsi" w:cstheme="minorHAnsi"/>
          <w:sz w:val="22"/>
          <w:szCs w:val="22"/>
        </w:rPr>
        <w:t xml:space="preserve">level of </w:t>
      </w:r>
      <w:r w:rsidR="00020B0F">
        <w:rPr>
          <w:rFonts w:asciiTheme="minorHAnsi" w:hAnsiTheme="minorHAnsi" w:cstheme="minorHAnsi"/>
          <w:sz w:val="22"/>
          <w:szCs w:val="22"/>
        </w:rPr>
        <w:t xml:space="preserve">fundamental rights </w:t>
      </w:r>
      <w:r w:rsidR="00634BA8">
        <w:rPr>
          <w:rFonts w:asciiTheme="minorHAnsi" w:hAnsiTheme="minorHAnsi" w:cstheme="minorHAnsi"/>
          <w:sz w:val="22"/>
          <w:szCs w:val="22"/>
        </w:rPr>
        <w:t xml:space="preserve">protection </w:t>
      </w:r>
      <w:r w:rsidR="00020B0F">
        <w:rPr>
          <w:rFonts w:asciiTheme="minorHAnsi" w:hAnsiTheme="minorHAnsi" w:cstheme="minorHAnsi"/>
          <w:sz w:val="22"/>
          <w:szCs w:val="22"/>
        </w:rPr>
        <w:t xml:space="preserve">of </w:t>
      </w:r>
      <w:r w:rsidR="00634BA8">
        <w:rPr>
          <w:rFonts w:asciiTheme="minorHAnsi" w:hAnsiTheme="minorHAnsi" w:cstheme="minorHAnsi"/>
          <w:sz w:val="22"/>
          <w:szCs w:val="22"/>
        </w:rPr>
        <w:t xml:space="preserve">detained TCNs in </w:t>
      </w:r>
      <w:r>
        <w:rPr>
          <w:rFonts w:asciiTheme="minorHAnsi" w:hAnsiTheme="minorHAnsi" w:cstheme="minorHAnsi"/>
          <w:sz w:val="22"/>
          <w:szCs w:val="22"/>
        </w:rPr>
        <w:t>the</w:t>
      </w:r>
      <w:r w:rsidR="00634BA8">
        <w:rPr>
          <w:rFonts w:asciiTheme="minorHAnsi" w:hAnsiTheme="minorHAnsi" w:cstheme="minorHAnsi"/>
          <w:sz w:val="22"/>
          <w:szCs w:val="22"/>
        </w:rPr>
        <w:t xml:space="preserve"> Member States.</w:t>
      </w:r>
      <w:r w:rsidR="00047AC9">
        <w:rPr>
          <w:rFonts w:asciiTheme="minorHAnsi" w:hAnsiTheme="minorHAnsi" w:cstheme="minorHAnsi"/>
          <w:sz w:val="22"/>
          <w:szCs w:val="22"/>
        </w:rPr>
        <w:t xml:space="preserve"> </w:t>
      </w:r>
    </w:p>
    <w:sectPr w:rsidR="00555FA2" w:rsidRPr="005F2372">
      <w:footerReference w:type="even" r:id="rId13"/>
      <w:footerReference w:type="default" r:id="rId14"/>
      <w:pgSz w:w="11900" w:h="16840"/>
      <w:pgMar w:top="1417" w:right="1417" w:bottom="1134"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2A013" w14:textId="77777777" w:rsidR="00273116" w:rsidRDefault="00273116">
      <w:r>
        <w:separator/>
      </w:r>
    </w:p>
  </w:endnote>
  <w:endnote w:type="continuationSeparator" w:id="0">
    <w:p w14:paraId="3C1E5A97" w14:textId="77777777" w:rsidR="00273116" w:rsidRDefault="00273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A5" w14:textId="77777777" w:rsidR="00020B0F" w:rsidRDefault="00020B0F">
    <w:pPr>
      <w:pBdr>
        <w:top w:val="nil"/>
        <w:left w:val="nil"/>
        <w:bottom w:val="nil"/>
        <w:right w:val="nil"/>
        <w:between w:val="nil"/>
      </w:pBdr>
      <w:tabs>
        <w:tab w:val="center" w:pos="4536"/>
        <w:tab w:val="right" w:pos="9072"/>
      </w:tabs>
      <w:jc w:val="right"/>
      <w:rPr>
        <w:color w:val="000000"/>
      </w:rPr>
    </w:pPr>
  </w:p>
  <w:p w14:paraId="000001A6" w14:textId="77777777" w:rsidR="00020B0F" w:rsidRDefault="00020B0F">
    <w:pPr>
      <w:pBdr>
        <w:top w:val="nil"/>
        <w:left w:val="nil"/>
        <w:bottom w:val="nil"/>
        <w:right w:val="nil"/>
        <w:between w:val="nil"/>
      </w:pBdr>
      <w:tabs>
        <w:tab w:val="center" w:pos="4536"/>
        <w:tab w:val="right" w:pos="9072"/>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A3" w14:textId="4E5437FA" w:rsidR="00020B0F" w:rsidRDefault="00020B0F">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19</w:t>
    </w:r>
    <w:r>
      <w:rPr>
        <w:color w:val="000000"/>
      </w:rPr>
      <w:fldChar w:fldCharType="end"/>
    </w:r>
  </w:p>
  <w:p w14:paraId="000001A4" w14:textId="77777777" w:rsidR="00020B0F" w:rsidRDefault="00020B0F">
    <w:pPr>
      <w:pBdr>
        <w:top w:val="nil"/>
        <w:left w:val="nil"/>
        <w:bottom w:val="nil"/>
        <w:right w:val="nil"/>
        <w:between w:val="nil"/>
      </w:pBdr>
      <w:tabs>
        <w:tab w:val="center" w:pos="4536"/>
        <w:tab w:val="right" w:pos="9072"/>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6403F" w14:textId="77777777" w:rsidR="00273116" w:rsidRDefault="00273116">
      <w:r>
        <w:separator/>
      </w:r>
    </w:p>
  </w:footnote>
  <w:footnote w:type="continuationSeparator" w:id="0">
    <w:p w14:paraId="21EDD55F" w14:textId="77777777" w:rsidR="00273116" w:rsidRDefault="00273116">
      <w:r>
        <w:continuationSeparator/>
      </w:r>
    </w:p>
  </w:footnote>
  <w:footnote w:id="1">
    <w:p w14:paraId="1D0ECD50" w14:textId="77777777" w:rsidR="00020B0F" w:rsidRPr="00050790" w:rsidRDefault="00020B0F" w:rsidP="007F5C63">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lang w:val="en-US"/>
        </w:rPr>
        <w:t xml:space="preserve">Directive </w:t>
      </w:r>
      <w:r w:rsidRPr="00050790">
        <w:rPr>
          <w:rFonts w:asciiTheme="minorHAnsi" w:hAnsiTheme="minorHAnsi" w:cstheme="minorHAnsi"/>
        </w:rPr>
        <w:t xml:space="preserve">2008/115/EC </w:t>
      </w:r>
      <w:r w:rsidRPr="00050790">
        <w:rPr>
          <w:rFonts w:asciiTheme="minorHAnsi" w:hAnsiTheme="minorHAnsi" w:cstheme="minorHAnsi"/>
          <w:lang w:val="en-US"/>
        </w:rPr>
        <w:t xml:space="preserve">of the European Parliament and of the Council </w:t>
      </w:r>
      <w:r w:rsidRPr="00050790">
        <w:rPr>
          <w:rFonts w:asciiTheme="minorHAnsi" w:hAnsiTheme="minorHAnsi" w:cstheme="minorHAnsi"/>
        </w:rPr>
        <w:t xml:space="preserve">of 16 December 2008 </w:t>
      </w:r>
    </w:p>
    <w:p w14:paraId="5BE73B12" w14:textId="77777777" w:rsidR="00020B0F" w:rsidRPr="00050790" w:rsidRDefault="00020B0F" w:rsidP="007F5C63">
      <w:pPr>
        <w:pStyle w:val="FootnoteText"/>
        <w:rPr>
          <w:rFonts w:asciiTheme="minorHAnsi" w:hAnsiTheme="minorHAnsi" w:cstheme="minorHAnsi"/>
          <w:lang w:val="en-US"/>
        </w:rPr>
      </w:pPr>
      <w:r w:rsidRPr="00050790">
        <w:rPr>
          <w:rFonts w:asciiTheme="minorHAnsi" w:hAnsiTheme="minorHAnsi" w:cstheme="minorHAnsi"/>
        </w:rPr>
        <w:t>on common standards and procedures in Member States for returning illegally staying third-country nationals</w:t>
      </w:r>
      <w:r w:rsidRPr="00050790">
        <w:rPr>
          <w:rFonts w:asciiTheme="minorHAnsi" w:hAnsiTheme="minorHAnsi" w:cstheme="minorHAnsi"/>
          <w:lang w:val="en-US"/>
        </w:rPr>
        <w:t xml:space="preserve"> [2008] </w:t>
      </w:r>
      <w:r w:rsidRPr="00050790">
        <w:rPr>
          <w:rStyle w:val="Emphasis"/>
          <w:rFonts w:asciiTheme="minorHAnsi" w:hAnsiTheme="minorHAnsi" w:cstheme="minorHAnsi"/>
          <w:shd w:val="clear" w:color="auto" w:fill="FFFFFF"/>
        </w:rPr>
        <w:t>OJ L 348</w:t>
      </w:r>
      <w:r w:rsidRPr="00050790">
        <w:rPr>
          <w:rFonts w:asciiTheme="minorHAnsi" w:hAnsiTheme="minorHAnsi" w:cstheme="minorHAnsi"/>
          <w:lang w:val="en-US"/>
        </w:rPr>
        <w:t>.</w:t>
      </w:r>
    </w:p>
  </w:footnote>
  <w:footnote w:id="2">
    <w:p w14:paraId="01C97AD6" w14:textId="5EC49D20"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Art 8:69 General Administrative Law Act (henceforth GALA). </w:t>
      </w:r>
    </w:p>
  </w:footnote>
  <w:footnote w:id="3">
    <w:p w14:paraId="3563D8C6" w14:textId="3689D68F" w:rsidR="00020B0F" w:rsidRPr="00050790" w:rsidRDefault="00020B0F" w:rsidP="002F5738">
      <w:pPr>
        <w:pStyle w:val="Heading3"/>
        <w:shd w:val="clear" w:color="auto" w:fill="FFFFFF"/>
        <w:spacing w:before="0"/>
        <w:rPr>
          <w:rFonts w:asciiTheme="minorHAnsi" w:hAnsiTheme="minorHAnsi" w:cstheme="minorHAnsi"/>
          <w:color w:val="auto"/>
          <w:sz w:val="20"/>
          <w:szCs w:val="20"/>
        </w:rPr>
      </w:pPr>
      <w:r w:rsidRPr="00050790">
        <w:rPr>
          <w:rStyle w:val="FootnoteReference"/>
          <w:rFonts w:asciiTheme="minorHAnsi" w:hAnsiTheme="minorHAnsi" w:cstheme="minorHAnsi"/>
          <w:color w:val="auto"/>
          <w:sz w:val="20"/>
          <w:szCs w:val="20"/>
        </w:rPr>
        <w:footnoteRef/>
      </w:r>
      <w:r w:rsidRPr="00050790">
        <w:rPr>
          <w:rFonts w:asciiTheme="minorHAnsi" w:hAnsiTheme="minorHAnsi" w:cstheme="minorHAnsi"/>
          <w:color w:val="auto"/>
          <w:sz w:val="20"/>
          <w:szCs w:val="20"/>
        </w:rPr>
        <w:t xml:space="preserve"> District Court ‘s-Hertogenbosch 26 January 2021, ECLI:NL:RBDHA:2021:466.</w:t>
      </w:r>
    </w:p>
  </w:footnote>
  <w:footnote w:id="4">
    <w:p w14:paraId="718DC651" w14:textId="2A8B12EA" w:rsidR="00020B0F" w:rsidRPr="00050790" w:rsidRDefault="00020B0F" w:rsidP="002F5738">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Council of State 23 December 2020,</w:t>
      </w:r>
      <w:r w:rsidRPr="00050790">
        <w:rPr>
          <w:rFonts w:asciiTheme="minorHAnsi" w:hAnsiTheme="minorHAnsi" w:cstheme="minorHAnsi"/>
          <w:color w:val="000000"/>
          <w:shd w:val="clear" w:color="auto" w:fill="FFFFFF"/>
        </w:rPr>
        <w:t> ECLI:NL:RVS:2020:3034.</w:t>
      </w:r>
    </w:p>
  </w:footnote>
  <w:footnote w:id="5">
    <w:p w14:paraId="17A589FF" w14:textId="77777777"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Arts 94 and 95 Aliens Act 2000.</w:t>
      </w:r>
    </w:p>
  </w:footnote>
  <w:footnote w:id="6">
    <w:p w14:paraId="0DF68FEC" w14:textId="667FB659" w:rsidR="00020B0F" w:rsidRPr="00050790" w:rsidRDefault="00020B0F">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lang w:val="en-US"/>
        </w:rPr>
        <w:t>Art 94(1) Aliens Act 2000.</w:t>
      </w:r>
    </w:p>
  </w:footnote>
  <w:footnote w:id="7">
    <w:p w14:paraId="42152D08" w14:textId="5CB85175" w:rsidR="00020B0F" w:rsidRPr="00050790" w:rsidRDefault="00020B0F">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lang w:val="en-US"/>
        </w:rPr>
        <w:t>Our translation.</w:t>
      </w:r>
    </w:p>
  </w:footnote>
  <w:footnote w:id="8">
    <w:p w14:paraId="44ABC61E" w14:textId="77777777"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Our translation.</w:t>
      </w:r>
    </w:p>
  </w:footnote>
  <w:footnote w:id="9">
    <w:p w14:paraId="7ADEB686" w14:textId="23213BEF" w:rsidR="00020B0F" w:rsidRPr="00050790" w:rsidRDefault="00020B0F">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lang w:val="en-US"/>
        </w:rPr>
        <w:t xml:space="preserve"> G.N. Cornelisse, ‘Van Magna Carta naar Mahdi’ </w:t>
      </w:r>
      <w:r w:rsidRPr="00050790">
        <w:rPr>
          <w:rFonts w:asciiTheme="minorHAnsi" w:hAnsiTheme="minorHAnsi" w:cstheme="minorHAnsi"/>
          <w:i/>
          <w:lang w:val="en-US"/>
        </w:rPr>
        <w:t xml:space="preserve">Asiel &amp; Migrantenrecht </w:t>
      </w:r>
      <w:r w:rsidRPr="00050790">
        <w:rPr>
          <w:rFonts w:asciiTheme="minorHAnsi" w:hAnsiTheme="minorHAnsi" w:cstheme="minorHAnsi"/>
          <w:lang w:val="en-US"/>
        </w:rPr>
        <w:t>(2015) p 200.</w:t>
      </w:r>
    </w:p>
  </w:footnote>
  <w:footnote w:id="10">
    <w:p w14:paraId="0CDC3582" w14:textId="77777777"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See eg </w:t>
      </w:r>
      <w:r w:rsidRPr="00050790">
        <w:rPr>
          <w:rFonts w:asciiTheme="minorHAnsi" w:hAnsiTheme="minorHAnsi" w:cstheme="minorHAnsi"/>
          <w:lang w:val="en-US"/>
        </w:rPr>
        <w:t xml:space="preserve">Council of State, 4 April 2018, </w:t>
      </w:r>
      <w:r w:rsidRPr="00050790">
        <w:rPr>
          <w:rFonts w:asciiTheme="minorHAnsi" w:hAnsiTheme="minorHAnsi" w:cstheme="minorHAnsi"/>
        </w:rPr>
        <w:t>ECLI:NL:RVS:2018:1081</w:t>
      </w:r>
      <w:r w:rsidRPr="00050790">
        <w:rPr>
          <w:rFonts w:asciiTheme="minorHAnsi" w:hAnsiTheme="minorHAnsi" w:cstheme="minorHAnsi"/>
          <w:lang w:val="en-US"/>
        </w:rPr>
        <w:t xml:space="preserve"> paras 3-4.</w:t>
      </w:r>
    </w:p>
  </w:footnote>
  <w:footnote w:id="11">
    <w:p w14:paraId="3326EB94" w14:textId="040FC0E4" w:rsidR="00020B0F" w:rsidRPr="00050790" w:rsidRDefault="00020B0F" w:rsidP="005A285F">
      <w:pPr>
        <w:pStyle w:val="Heading1"/>
        <w:shd w:val="clear" w:color="auto" w:fill="FFFFFF"/>
        <w:spacing w:before="0"/>
        <w:rPr>
          <w:rFonts w:asciiTheme="minorHAnsi" w:hAnsiTheme="minorHAnsi" w:cstheme="minorHAnsi"/>
          <w:b w:val="0"/>
          <w:color w:val="auto"/>
          <w:sz w:val="20"/>
          <w:szCs w:val="20"/>
          <w:lang w:eastAsia="en-US"/>
        </w:rPr>
      </w:pPr>
      <w:r w:rsidRPr="00050790">
        <w:rPr>
          <w:rStyle w:val="FootnoteReference"/>
          <w:rFonts w:asciiTheme="minorHAnsi" w:hAnsiTheme="minorHAnsi" w:cstheme="minorHAnsi"/>
          <w:b w:val="0"/>
          <w:color w:val="auto"/>
          <w:sz w:val="20"/>
          <w:szCs w:val="20"/>
        </w:rPr>
        <w:footnoteRef/>
      </w:r>
      <w:r w:rsidRPr="00050790">
        <w:rPr>
          <w:rFonts w:asciiTheme="minorHAnsi" w:hAnsiTheme="minorHAnsi" w:cstheme="minorHAnsi"/>
          <w:b w:val="0"/>
          <w:color w:val="auto"/>
          <w:sz w:val="20"/>
          <w:szCs w:val="20"/>
          <w:lang w:val="en-US"/>
        </w:rPr>
        <w:t xml:space="preserve"> G.N. Cornelisse, annotation with Council of State 16 January 2013, </w:t>
      </w:r>
      <w:r w:rsidRPr="00050790">
        <w:rPr>
          <w:rFonts w:asciiTheme="minorHAnsi" w:hAnsiTheme="minorHAnsi" w:cstheme="minorHAnsi"/>
          <w:b w:val="0"/>
          <w:color w:val="auto"/>
          <w:sz w:val="20"/>
          <w:szCs w:val="20"/>
        </w:rPr>
        <w:t xml:space="preserve">ECLI:NL:RVS:2013:BY9617, </w:t>
      </w:r>
      <w:r w:rsidRPr="00050790">
        <w:rPr>
          <w:rFonts w:asciiTheme="minorHAnsi" w:hAnsiTheme="minorHAnsi" w:cstheme="minorHAnsi"/>
          <w:b w:val="0"/>
          <w:i/>
          <w:color w:val="auto"/>
          <w:sz w:val="20"/>
          <w:szCs w:val="20"/>
          <w:lang w:val="en-US"/>
        </w:rPr>
        <w:t>Jurisprudentie Vreemdelingenrecht (JV)</w:t>
      </w:r>
      <w:r w:rsidRPr="00050790">
        <w:rPr>
          <w:rFonts w:asciiTheme="minorHAnsi" w:hAnsiTheme="minorHAnsi" w:cstheme="minorHAnsi"/>
          <w:b w:val="0"/>
          <w:color w:val="auto"/>
          <w:sz w:val="20"/>
          <w:szCs w:val="20"/>
          <w:lang w:val="en-US"/>
        </w:rPr>
        <w:t xml:space="preserve"> 2013/117.</w:t>
      </w:r>
    </w:p>
  </w:footnote>
  <w:footnote w:id="12">
    <w:p w14:paraId="73C17D6A" w14:textId="02059E71" w:rsidR="00020B0F" w:rsidRPr="00050790" w:rsidRDefault="00020B0F" w:rsidP="005A285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i/>
          <w:iCs/>
        </w:rPr>
        <w:t>Tekst and Commentaar</w:t>
      </w:r>
      <w:r w:rsidRPr="00050790">
        <w:rPr>
          <w:rFonts w:asciiTheme="minorHAnsi" w:hAnsiTheme="minorHAnsi" w:cstheme="minorHAnsi"/>
        </w:rPr>
        <w:t xml:space="preserve"> Algemene wet bestuursrecht, Art. 8:69 Awb, Kluwer, para 3 and </w:t>
      </w:r>
      <w:r w:rsidRPr="00050790">
        <w:rPr>
          <w:rFonts w:asciiTheme="minorHAnsi" w:hAnsiTheme="minorHAnsi" w:cstheme="minorHAnsi"/>
          <w:lang w:val="en-US"/>
        </w:rPr>
        <w:t xml:space="preserve">R. Widdershoven, annotation with Council of State 11 February 2005, nr 200409759/1, </w:t>
      </w:r>
      <w:r w:rsidRPr="00050790">
        <w:rPr>
          <w:rFonts w:asciiTheme="minorHAnsi" w:hAnsiTheme="minorHAnsi" w:cstheme="minorHAnsi"/>
          <w:i/>
          <w:lang w:val="en-US"/>
        </w:rPr>
        <w:t>Jurisprudentie Vreemdelingenrecht (JV)</w:t>
      </w:r>
      <w:r w:rsidRPr="00050790">
        <w:rPr>
          <w:rFonts w:asciiTheme="minorHAnsi" w:hAnsiTheme="minorHAnsi" w:cstheme="minorHAnsi"/>
          <w:lang w:val="en-US"/>
        </w:rPr>
        <w:t xml:space="preserve"> 2005/172</w:t>
      </w:r>
    </w:p>
  </w:footnote>
  <w:footnote w:id="13">
    <w:p w14:paraId="60F536BB" w14:textId="79397221" w:rsidR="00020B0F" w:rsidRPr="00050790" w:rsidRDefault="00020B0F" w:rsidP="005A285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Council of State 3 January 2013, ECLI:NL:RVS:2013:BY8254</w:t>
      </w:r>
      <w:r w:rsidRPr="00050790">
        <w:rPr>
          <w:rFonts w:asciiTheme="minorHAnsi" w:hAnsiTheme="minorHAnsi" w:cstheme="minorHAnsi"/>
          <w:shd w:val="clear" w:color="auto" w:fill="ECF8FF"/>
        </w:rPr>
        <w:t>.</w:t>
      </w:r>
    </w:p>
  </w:footnote>
  <w:footnote w:id="14">
    <w:p w14:paraId="3A417B13" w14:textId="3C909A97" w:rsidR="00020B0F" w:rsidRPr="00050790" w:rsidRDefault="00020B0F" w:rsidP="003B0486">
      <w:pPr>
        <w:pStyle w:val="FootnoteText"/>
        <w:rPr>
          <w:rFonts w:asciiTheme="minorHAnsi" w:hAnsiTheme="minorHAnsi" w:cstheme="minorHAnsi"/>
          <w:lang w:val="en-US"/>
        </w:rPr>
      </w:pPr>
      <w:r w:rsidRPr="00050790">
        <w:rPr>
          <w:rFonts w:asciiTheme="minorHAnsi" w:hAnsiTheme="minorHAnsi" w:cstheme="minorHAnsi"/>
          <w:vertAlign w:val="superscript"/>
          <w:lang w:val="en-US"/>
        </w:rPr>
        <w:footnoteRef/>
      </w:r>
      <w:r w:rsidRPr="00050790">
        <w:rPr>
          <w:rFonts w:asciiTheme="minorHAnsi" w:hAnsiTheme="minorHAnsi" w:cstheme="minorHAnsi"/>
          <w:vertAlign w:val="superscript"/>
          <w:lang w:val="en-US"/>
        </w:rPr>
        <w:t xml:space="preserve"> </w:t>
      </w:r>
      <w:r w:rsidRPr="00050790">
        <w:rPr>
          <w:rFonts w:asciiTheme="minorHAnsi" w:hAnsiTheme="minorHAnsi" w:cstheme="minorHAnsi"/>
          <w:lang w:val="en-US"/>
        </w:rPr>
        <w:t xml:space="preserve">R. Widdershoven, annotation with Council of State 11 February 2005, nr 200409759/1, </w:t>
      </w:r>
      <w:r w:rsidRPr="00050790">
        <w:rPr>
          <w:rFonts w:asciiTheme="minorHAnsi" w:hAnsiTheme="minorHAnsi" w:cstheme="minorHAnsi"/>
          <w:i/>
          <w:lang w:val="en-US"/>
        </w:rPr>
        <w:t>Jurisprudentie Vreemdelingenrecht (JV)</w:t>
      </w:r>
      <w:r w:rsidRPr="00050790">
        <w:rPr>
          <w:rFonts w:asciiTheme="minorHAnsi" w:hAnsiTheme="minorHAnsi" w:cstheme="minorHAnsi"/>
          <w:lang w:val="en-US"/>
        </w:rPr>
        <w:t xml:space="preserve"> 2005/172.</w:t>
      </w:r>
    </w:p>
  </w:footnote>
  <w:footnote w:id="15">
    <w:p w14:paraId="244D2BF8" w14:textId="3081373B"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Art 94(2) Aliens Act 2000. </w:t>
      </w:r>
    </w:p>
  </w:footnote>
  <w:footnote w:id="16">
    <w:p w14:paraId="7D1B6B41" w14:textId="011D0331"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See e.g. Council of State 14 April 2010, ECLI:NL:RVS:2010:BM1045</w:t>
      </w:r>
      <w:r w:rsidRPr="00050790">
        <w:rPr>
          <w:rFonts w:asciiTheme="minorHAnsi" w:hAnsiTheme="minorHAnsi" w:cstheme="minorHAnsi"/>
          <w:bdr w:val="none" w:sz="0" w:space="0" w:color="auto" w:frame="1"/>
          <w:shd w:val="clear" w:color="auto" w:fill="ECF8FF"/>
        </w:rPr>
        <w:t>.</w:t>
      </w:r>
    </w:p>
  </w:footnote>
  <w:footnote w:id="17">
    <w:p w14:paraId="468B3DEF" w14:textId="3BBA4838"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Council of State 26 January 2011, ECLI:NL:RVS:2011:BP2536.</w:t>
      </w:r>
    </w:p>
  </w:footnote>
  <w:footnote w:id="18">
    <w:p w14:paraId="43D81A80" w14:textId="3E63FF7F"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Council of State 16 November 2004, nr 200408525/1.</w:t>
      </w:r>
    </w:p>
  </w:footnote>
  <w:footnote w:id="19">
    <w:p w14:paraId="2B065428" w14:textId="3FE81408" w:rsidR="00020B0F" w:rsidRPr="00050790" w:rsidRDefault="00020B0F" w:rsidP="008B21CB">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lang w:val="en-US"/>
        </w:rPr>
        <w:t xml:space="preserve">Council of State 25 January 2013, </w:t>
      </w:r>
      <w:r w:rsidRPr="00050790">
        <w:rPr>
          <w:rFonts w:asciiTheme="minorHAnsi" w:hAnsiTheme="minorHAnsi" w:cstheme="minorHAnsi"/>
        </w:rPr>
        <w:t>ECLI:NL:RVS:2013:BY9617.</w:t>
      </w:r>
    </w:p>
  </w:footnote>
  <w:footnote w:id="20">
    <w:p w14:paraId="66D3CE91" w14:textId="70970731" w:rsidR="00020B0F" w:rsidRPr="00050790" w:rsidRDefault="00020B0F" w:rsidP="003B0486">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Council of State, 1 June 2007, ECLI:NL:RVS:2007:BA6989,</w:t>
      </w:r>
      <w:r w:rsidRPr="00050790">
        <w:rPr>
          <w:rFonts w:asciiTheme="minorHAnsi" w:hAnsiTheme="minorHAnsi" w:cstheme="minorHAnsi"/>
          <w:lang w:val="en-US"/>
        </w:rPr>
        <w:t xml:space="preserve"> paras 2-2.3.</w:t>
      </w:r>
    </w:p>
  </w:footnote>
  <w:footnote w:id="21">
    <w:p w14:paraId="66A87B39" w14:textId="77777777" w:rsidR="00020B0F" w:rsidRPr="00050790" w:rsidRDefault="00020B0F" w:rsidP="003B0486">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District </w:t>
      </w:r>
      <w:r w:rsidRPr="00050790">
        <w:rPr>
          <w:rFonts w:asciiTheme="minorHAnsi" w:hAnsiTheme="minorHAnsi" w:cstheme="minorHAnsi"/>
          <w:lang w:val="en-US"/>
        </w:rPr>
        <w:t xml:space="preserve">Court </w:t>
      </w:r>
      <w:r w:rsidRPr="00050790">
        <w:rPr>
          <w:rFonts w:asciiTheme="minorHAnsi" w:hAnsiTheme="minorHAnsi" w:cstheme="minorHAnsi"/>
          <w:shd w:val="clear" w:color="auto" w:fill="FFFFFF"/>
        </w:rPr>
        <w:t xml:space="preserve">’s-Hertogenbosch </w:t>
      </w:r>
      <w:r w:rsidRPr="00050790">
        <w:rPr>
          <w:rFonts w:asciiTheme="minorHAnsi" w:hAnsiTheme="minorHAnsi" w:cstheme="minorHAnsi"/>
          <w:lang w:val="en-US"/>
        </w:rPr>
        <w:t xml:space="preserve">23 October 2020, </w:t>
      </w:r>
      <w:r w:rsidRPr="00050790">
        <w:rPr>
          <w:rFonts w:asciiTheme="minorHAnsi" w:hAnsiTheme="minorHAnsi" w:cstheme="minorHAnsi"/>
        </w:rPr>
        <w:t>ECLI:NL:RBDHA:2020:10641,</w:t>
      </w:r>
      <w:r w:rsidRPr="00050790">
        <w:rPr>
          <w:rFonts w:asciiTheme="minorHAnsi" w:hAnsiTheme="minorHAnsi" w:cstheme="minorHAnsi"/>
          <w:lang w:val="en-US"/>
        </w:rPr>
        <w:t xml:space="preserve"> paras 23-31. </w:t>
      </w:r>
    </w:p>
  </w:footnote>
  <w:footnote w:id="22">
    <w:p w14:paraId="688C1EC8" w14:textId="77777777" w:rsidR="00020B0F" w:rsidRPr="00050790" w:rsidRDefault="00020B0F" w:rsidP="003B0486">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District </w:t>
      </w:r>
      <w:r w:rsidRPr="00050790">
        <w:rPr>
          <w:rFonts w:asciiTheme="minorHAnsi" w:hAnsiTheme="minorHAnsi" w:cstheme="minorHAnsi"/>
          <w:lang w:val="en-US"/>
        </w:rPr>
        <w:t xml:space="preserve">Court Haarlem 20 September 2017, </w:t>
      </w:r>
      <w:r w:rsidRPr="00050790">
        <w:rPr>
          <w:rFonts w:asciiTheme="minorHAnsi" w:hAnsiTheme="minorHAnsi" w:cstheme="minorHAnsi"/>
        </w:rPr>
        <w:t>ECLI:NL:RBDHA:2017:10768,</w:t>
      </w:r>
      <w:r w:rsidRPr="00050790">
        <w:rPr>
          <w:rFonts w:asciiTheme="minorHAnsi" w:hAnsiTheme="minorHAnsi" w:cstheme="minorHAnsi"/>
          <w:lang w:val="en-US"/>
        </w:rPr>
        <w:t xml:space="preserve"> para 3.</w:t>
      </w:r>
    </w:p>
  </w:footnote>
  <w:footnote w:id="23">
    <w:p w14:paraId="6285E021" w14:textId="77777777"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District </w:t>
      </w:r>
      <w:r w:rsidRPr="00050790">
        <w:rPr>
          <w:rFonts w:asciiTheme="minorHAnsi" w:hAnsiTheme="minorHAnsi" w:cstheme="minorHAnsi"/>
          <w:lang w:val="en-US"/>
        </w:rPr>
        <w:t xml:space="preserve">Court Haarlem 20 September 2017, </w:t>
      </w:r>
      <w:r w:rsidRPr="00050790">
        <w:rPr>
          <w:rFonts w:asciiTheme="minorHAnsi" w:hAnsiTheme="minorHAnsi" w:cstheme="minorHAnsi"/>
        </w:rPr>
        <w:t>ECLI:NL:RBDHA:2017:10768,</w:t>
      </w:r>
      <w:r w:rsidRPr="00050790">
        <w:rPr>
          <w:rFonts w:asciiTheme="minorHAnsi" w:hAnsiTheme="minorHAnsi" w:cstheme="minorHAnsi"/>
          <w:lang w:val="en-US"/>
        </w:rPr>
        <w:t xml:space="preserve"> para 3.1. Our translation.</w:t>
      </w:r>
    </w:p>
  </w:footnote>
  <w:footnote w:id="24">
    <w:p w14:paraId="6B49FBBF" w14:textId="21E749D0" w:rsidR="00020B0F" w:rsidRPr="00050790" w:rsidRDefault="00020B0F" w:rsidP="00A06734">
      <w:pPr>
        <w:shd w:val="clear" w:color="auto" w:fill="FFFFFF"/>
        <w:rPr>
          <w:rFonts w:asciiTheme="minorHAnsi" w:hAnsiTheme="minorHAnsi" w:cstheme="minorHAnsi"/>
          <w:sz w:val="20"/>
          <w:szCs w:val="20"/>
        </w:rPr>
      </w:pPr>
      <w:r w:rsidRPr="00050790">
        <w:rPr>
          <w:rStyle w:val="FootnoteReference"/>
          <w:rFonts w:asciiTheme="minorHAnsi" w:hAnsiTheme="minorHAnsi" w:cstheme="minorHAnsi"/>
          <w:sz w:val="20"/>
          <w:szCs w:val="20"/>
        </w:rPr>
        <w:footnoteRef/>
      </w:r>
      <w:r w:rsidRPr="00050790">
        <w:rPr>
          <w:rFonts w:asciiTheme="minorHAnsi" w:hAnsiTheme="minorHAnsi" w:cstheme="minorHAnsi"/>
          <w:sz w:val="20"/>
          <w:szCs w:val="20"/>
        </w:rPr>
        <w:t xml:space="preserve"> The District Court of ‘s-Hertogenbosch often applies an ex officio review. See recently: District Court ‘s-Hertogenbosch 24 February 2021, NL21.2306 and 18 February 2021, NL21.1614.</w:t>
      </w:r>
    </w:p>
  </w:footnote>
  <w:footnote w:id="25">
    <w:p w14:paraId="61117219" w14:textId="72611F94" w:rsidR="00020B0F" w:rsidRPr="00050790" w:rsidRDefault="00020B0F" w:rsidP="008B21CB">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Council of State 1 April 2009, </w:t>
      </w:r>
      <w:r w:rsidRPr="00050790">
        <w:rPr>
          <w:rFonts w:asciiTheme="minorHAnsi" w:hAnsiTheme="minorHAnsi" w:cstheme="minorHAnsi"/>
          <w:shd w:val="clear" w:color="auto" w:fill="FFFFFF"/>
        </w:rPr>
        <w:t>ECLI:NL:RVS:2009:2811,</w:t>
      </w:r>
      <w:r w:rsidRPr="00050790">
        <w:rPr>
          <w:rFonts w:asciiTheme="minorHAnsi" w:hAnsiTheme="minorHAnsi" w:cstheme="minorHAnsi"/>
          <w:lang w:val="en-US"/>
        </w:rPr>
        <w:t xml:space="preserve"> para 3.</w:t>
      </w:r>
    </w:p>
  </w:footnote>
  <w:footnote w:id="26">
    <w:p w14:paraId="045BB30D" w14:textId="7FE25CE4" w:rsidR="00020B0F" w:rsidRPr="00050790" w:rsidRDefault="00020B0F" w:rsidP="006607A4">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Of course, the two judgments of the District Court of ‘s-Hertogenbosch underlying the two preliminary references at issue, are also examples of an ex officio review of due diligence. This shows that the Council of State’s case law has not changed after the implementation of the Return Directive. </w:t>
      </w:r>
    </w:p>
  </w:footnote>
  <w:footnote w:id="27">
    <w:p w14:paraId="5D8731E0" w14:textId="7DBF2142" w:rsidR="00697032" w:rsidRPr="00697032" w:rsidRDefault="00697032">
      <w:pPr>
        <w:pStyle w:val="FootnoteText"/>
        <w:rPr>
          <w:rFonts w:asciiTheme="minorHAnsi" w:hAnsiTheme="minorHAnsi" w:cstheme="minorHAnsi"/>
        </w:rPr>
      </w:pPr>
      <w:r w:rsidRPr="00697032">
        <w:rPr>
          <w:rStyle w:val="FootnoteReference"/>
          <w:rFonts w:asciiTheme="minorHAnsi" w:hAnsiTheme="minorHAnsi" w:cstheme="minorHAnsi"/>
        </w:rPr>
        <w:footnoteRef/>
      </w:r>
      <w:r w:rsidRPr="00697032">
        <w:rPr>
          <w:rFonts w:asciiTheme="minorHAnsi" w:hAnsiTheme="minorHAnsi" w:cstheme="minorHAnsi"/>
        </w:rPr>
        <w:t xml:space="preserve"> District Court The Hague 5 November 2007, AWB </w:t>
      </w:r>
      <w:r w:rsidRPr="00697032">
        <w:rPr>
          <w:rFonts w:asciiTheme="minorHAnsi" w:hAnsiTheme="minorHAnsi" w:cstheme="minorHAnsi"/>
        </w:rPr>
        <w:t>07/40100</w:t>
      </w:r>
      <w:r w:rsidRPr="00697032">
        <w:rPr>
          <w:rFonts w:asciiTheme="minorHAnsi" w:hAnsiTheme="minorHAnsi" w:cstheme="minorHAnsi"/>
        </w:rPr>
        <w:t>.</w:t>
      </w:r>
    </w:p>
  </w:footnote>
  <w:footnote w:id="28">
    <w:p w14:paraId="4CF0A46E" w14:textId="4F00178D" w:rsidR="00020B0F" w:rsidRPr="00050790" w:rsidRDefault="00020B0F" w:rsidP="006607A4">
      <w:pPr>
        <w:pStyle w:val="Heading1"/>
        <w:shd w:val="clear" w:color="auto" w:fill="FFFFFF"/>
        <w:spacing w:before="0"/>
        <w:rPr>
          <w:rFonts w:asciiTheme="minorHAnsi" w:hAnsiTheme="minorHAnsi" w:cstheme="minorHAnsi"/>
          <w:b w:val="0"/>
          <w:bCs/>
          <w:color w:val="auto"/>
          <w:sz w:val="20"/>
          <w:szCs w:val="20"/>
        </w:rPr>
      </w:pPr>
      <w:r w:rsidRPr="00050790">
        <w:rPr>
          <w:rStyle w:val="FootnoteReference"/>
          <w:rFonts w:asciiTheme="minorHAnsi" w:hAnsiTheme="minorHAnsi" w:cstheme="minorHAnsi"/>
          <w:b w:val="0"/>
          <w:bCs/>
          <w:color w:val="auto"/>
          <w:sz w:val="20"/>
          <w:szCs w:val="20"/>
        </w:rPr>
        <w:footnoteRef/>
      </w:r>
      <w:r w:rsidRPr="00050790">
        <w:rPr>
          <w:rFonts w:asciiTheme="minorHAnsi" w:hAnsiTheme="minorHAnsi" w:cstheme="minorHAnsi"/>
          <w:b w:val="0"/>
          <w:bCs/>
          <w:color w:val="auto"/>
          <w:sz w:val="20"/>
          <w:szCs w:val="20"/>
        </w:rPr>
        <w:t xml:space="preserve"> Council of State 17 December 2007, ECLI:NL:RVS:2007:BC9166.</w:t>
      </w:r>
    </w:p>
  </w:footnote>
  <w:footnote w:id="29">
    <w:p w14:paraId="6263DC2C" w14:textId="4576B5CD" w:rsidR="00020B0F" w:rsidRPr="00050790" w:rsidRDefault="00020B0F" w:rsidP="00EC6EB1">
      <w:pPr>
        <w:pStyle w:val="Heading1"/>
        <w:shd w:val="clear" w:color="auto" w:fill="FFFFFF"/>
        <w:spacing w:before="0"/>
        <w:rPr>
          <w:rFonts w:asciiTheme="minorHAnsi" w:eastAsia="Times New Roman" w:hAnsiTheme="minorHAnsi" w:cstheme="minorHAnsi"/>
          <w:b w:val="0"/>
          <w:color w:val="auto"/>
          <w:sz w:val="20"/>
          <w:szCs w:val="20"/>
        </w:rPr>
      </w:pPr>
      <w:r w:rsidRPr="00050790">
        <w:rPr>
          <w:rStyle w:val="FootnoteReference"/>
          <w:rFonts w:asciiTheme="minorHAnsi" w:hAnsiTheme="minorHAnsi" w:cstheme="minorHAnsi"/>
          <w:b w:val="0"/>
          <w:color w:val="auto"/>
          <w:sz w:val="20"/>
          <w:szCs w:val="20"/>
        </w:rPr>
        <w:footnoteRef/>
      </w:r>
      <w:r w:rsidRPr="00050790">
        <w:rPr>
          <w:rFonts w:asciiTheme="minorHAnsi" w:hAnsiTheme="minorHAnsi" w:cstheme="minorHAnsi"/>
          <w:b w:val="0"/>
          <w:color w:val="auto"/>
          <w:sz w:val="20"/>
          <w:szCs w:val="20"/>
        </w:rPr>
        <w:t xml:space="preserve"> Council of State 31 October 2012, </w:t>
      </w:r>
      <w:r w:rsidRPr="00050790">
        <w:rPr>
          <w:rFonts w:asciiTheme="minorHAnsi" w:eastAsia="Times New Roman" w:hAnsiTheme="minorHAnsi" w:cstheme="minorHAnsi"/>
          <w:b w:val="0"/>
          <w:color w:val="auto"/>
          <w:sz w:val="20"/>
          <w:szCs w:val="20"/>
        </w:rPr>
        <w:t>ECLI:NL:RVS:2012:BY2113</w:t>
      </w:r>
    </w:p>
  </w:footnote>
  <w:footnote w:id="30">
    <w:p w14:paraId="2C027CB2" w14:textId="77777777" w:rsidR="00020B0F" w:rsidRPr="00050790" w:rsidRDefault="00020B0F" w:rsidP="00EC6EB1">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Art 59(5) and (6) Aliens Act 2000.</w:t>
      </w:r>
    </w:p>
  </w:footnote>
  <w:footnote w:id="31">
    <w:p w14:paraId="7676840A" w14:textId="04EC3EF0" w:rsidR="00020B0F" w:rsidRPr="00050790" w:rsidRDefault="00020B0F" w:rsidP="00EC6EB1">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District Court Amsterdam</w:t>
      </w:r>
      <w:r w:rsidR="00697032">
        <w:rPr>
          <w:rFonts w:asciiTheme="minorHAnsi" w:hAnsiTheme="minorHAnsi" w:cstheme="minorHAnsi"/>
        </w:rPr>
        <w:t xml:space="preserve"> 9 November 2012</w:t>
      </w:r>
      <w:r w:rsidRPr="00050790">
        <w:rPr>
          <w:rFonts w:asciiTheme="minorHAnsi" w:hAnsiTheme="minorHAnsi" w:cstheme="minorHAnsi"/>
        </w:rPr>
        <w:t>, ECLI:NL:RBSGR:2012:BY8756,</w:t>
      </w:r>
      <w:r w:rsidRPr="00050790">
        <w:rPr>
          <w:rFonts w:asciiTheme="minorHAnsi" w:hAnsiTheme="minorHAnsi" w:cstheme="minorHAnsi"/>
          <w:lang w:val="en-US"/>
        </w:rPr>
        <w:t xml:space="preserve"> para 1.</w:t>
      </w:r>
    </w:p>
  </w:footnote>
  <w:footnote w:id="32">
    <w:p w14:paraId="3BB4697F" w14:textId="28882B98" w:rsidR="00020B0F" w:rsidRPr="00050790" w:rsidRDefault="00020B0F" w:rsidP="00EC6EB1">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lang w:val="en-US"/>
        </w:rPr>
        <w:t xml:space="preserve">Council of State 25 January 2013, </w:t>
      </w:r>
      <w:r w:rsidRPr="00050790">
        <w:rPr>
          <w:rFonts w:asciiTheme="minorHAnsi" w:hAnsiTheme="minorHAnsi" w:cstheme="minorHAnsi"/>
        </w:rPr>
        <w:t>ECLI:NL:RVS:2013:BY9617</w:t>
      </w:r>
      <w:r w:rsidRPr="00050790">
        <w:rPr>
          <w:rFonts w:asciiTheme="minorHAnsi" w:hAnsiTheme="minorHAnsi" w:cstheme="minorHAnsi"/>
          <w:lang w:val="en-US"/>
        </w:rPr>
        <w:t xml:space="preserve">. </w:t>
      </w:r>
    </w:p>
  </w:footnote>
  <w:footnote w:id="33">
    <w:p w14:paraId="6F84AD75" w14:textId="24611F5A"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shd w:val="clear" w:color="auto" w:fill="FFFFFF"/>
        </w:rPr>
        <w:t xml:space="preserve">Regulation (EU) No 604/2013 of the European Parliament and of the Council of 26 June 2013 establishing the criteria and mechanisms for determining the Member State responsible for examining an application for international protection lodged in one of the Member States by a third-country national or a stateless person [2013] </w:t>
      </w:r>
      <w:r w:rsidRPr="00050790">
        <w:rPr>
          <w:rStyle w:val="Emphasis"/>
          <w:rFonts w:asciiTheme="minorHAnsi" w:hAnsiTheme="minorHAnsi" w:cstheme="minorHAnsi"/>
          <w:i w:val="0"/>
          <w:iCs w:val="0"/>
          <w:shd w:val="clear" w:color="auto" w:fill="FFFFFF"/>
        </w:rPr>
        <w:t>OJ L 180</w:t>
      </w:r>
      <w:r w:rsidRPr="00050790">
        <w:rPr>
          <w:rStyle w:val="Emphasis"/>
          <w:rFonts w:asciiTheme="minorHAnsi" w:hAnsiTheme="minorHAnsi" w:cstheme="minorHAnsi"/>
          <w:shd w:val="clear" w:color="auto" w:fill="FFFFFF"/>
        </w:rPr>
        <w:t>.</w:t>
      </w:r>
    </w:p>
  </w:footnote>
  <w:footnote w:id="34">
    <w:p w14:paraId="104BC959" w14:textId="77777777" w:rsidR="00020B0F" w:rsidRPr="00050790" w:rsidRDefault="00020B0F" w:rsidP="00EC6EB1">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District Court Zwolle 26 April 2017, ECLI:NL:RBDHA:2017:4555</w:t>
      </w:r>
      <w:r w:rsidRPr="00050790">
        <w:rPr>
          <w:rStyle w:val="Hyperlink"/>
          <w:rFonts w:asciiTheme="minorHAnsi" w:hAnsiTheme="minorHAnsi" w:cstheme="minorHAnsi"/>
          <w:color w:val="auto"/>
          <w:u w:val="none"/>
        </w:rPr>
        <w:t>.</w:t>
      </w:r>
    </w:p>
  </w:footnote>
  <w:footnote w:id="35">
    <w:p w14:paraId="467811A8" w14:textId="2BA449C4"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Council of State 29 December 2019, ECLI:NL:RVS:2017:3621.</w:t>
      </w:r>
    </w:p>
  </w:footnote>
  <w:footnote w:id="36">
    <w:p w14:paraId="5E6BD2D2" w14:textId="12605DB6"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The judgment only mentions that the TCN submitted that he should not have been detained, even though he disappeared from the reception centre, because he is a minor</w:t>
      </w:r>
      <w:r w:rsidRPr="00050790">
        <w:rPr>
          <w:rFonts w:asciiTheme="minorHAnsi" w:hAnsiTheme="minorHAnsi" w:cstheme="minorHAnsi"/>
          <w:color w:val="000000"/>
          <w:shd w:val="clear" w:color="auto" w:fill="FFFFFF"/>
        </w:rPr>
        <w:t>.</w:t>
      </w:r>
    </w:p>
  </w:footnote>
  <w:footnote w:id="37">
    <w:p w14:paraId="60CBD8EC" w14:textId="77777777"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District Court ‘s-Hertogenbosch 23 August 2019, ECLI:NL:RBDHA:2019:8709.</w:t>
      </w:r>
    </w:p>
  </w:footnote>
  <w:footnote w:id="38">
    <w:p w14:paraId="074DD1D2" w14:textId="77777777" w:rsidR="00020B0F" w:rsidRPr="00050790" w:rsidRDefault="00020B0F" w:rsidP="003B0486">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District Court Arnhem 5 January 2021, ECLI:NL:RBDHA:2021:61.</w:t>
      </w:r>
    </w:p>
  </w:footnote>
  <w:footnote w:id="39">
    <w:p w14:paraId="24A75558" w14:textId="292A88F0" w:rsidR="00020B0F" w:rsidRPr="00050790" w:rsidRDefault="00020B0F" w:rsidP="00916826">
      <w:pPr>
        <w:rPr>
          <w:rFonts w:asciiTheme="minorHAnsi" w:eastAsia="Calibri" w:hAnsiTheme="minorHAnsi" w:cstheme="minorHAnsi"/>
          <w:i/>
          <w:iCs/>
          <w:sz w:val="20"/>
          <w:szCs w:val="20"/>
          <w:lang w:val="nl-NL"/>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i/>
          <w:sz w:val="20"/>
          <w:szCs w:val="20"/>
          <w:lang w:val="nl-NL"/>
        </w:rPr>
        <w:t>Bevel om het grondgebied te verlaten.</w:t>
      </w:r>
      <w:r w:rsidRPr="00050790">
        <w:rPr>
          <w:rFonts w:asciiTheme="minorHAnsi" w:eastAsia="Calibri" w:hAnsiTheme="minorHAnsi" w:cstheme="minorHAnsi"/>
          <w:sz w:val="20"/>
          <w:szCs w:val="20"/>
          <w:lang w:val="nl-NL"/>
        </w:rPr>
        <w:t xml:space="preserve"> See Art 7 </w:t>
      </w:r>
      <w:r w:rsidRPr="00050790">
        <w:rPr>
          <w:rFonts w:asciiTheme="minorHAnsi" w:hAnsiTheme="minorHAnsi" w:cstheme="minorHAnsi"/>
          <w:i/>
          <w:iCs/>
          <w:sz w:val="20"/>
          <w:szCs w:val="20"/>
          <w:lang w:val="nl-NL"/>
        </w:rPr>
        <w:t>Wet betreffende de toegang tot het grondgebied, het verblijf, de vestiging en de verwijdering van vreemdelingen.</w:t>
      </w:r>
    </w:p>
  </w:footnote>
  <w:footnote w:id="40">
    <w:p w14:paraId="3B2787C8" w14:textId="1B6698C5" w:rsidR="00020B0F" w:rsidRPr="00050790" w:rsidRDefault="00020B0F">
      <w:pPr>
        <w:pStyle w:val="FootnoteText"/>
        <w:rPr>
          <w:rFonts w:asciiTheme="minorHAnsi" w:hAnsiTheme="minorHAnsi" w:cstheme="minorHAnsi"/>
          <w:lang w:val="nl-NL"/>
        </w:rPr>
      </w:pPr>
      <w:r w:rsidRPr="00050790">
        <w:rPr>
          <w:rStyle w:val="FootnoteReference"/>
          <w:rFonts w:asciiTheme="minorHAnsi" w:hAnsiTheme="minorHAnsi" w:cstheme="minorHAnsi"/>
        </w:rPr>
        <w:footnoteRef/>
      </w:r>
      <w:r w:rsidRPr="00050790">
        <w:rPr>
          <w:rFonts w:asciiTheme="minorHAnsi" w:hAnsiTheme="minorHAnsi" w:cstheme="minorHAnsi"/>
          <w:lang w:val="nl-NL"/>
        </w:rPr>
        <w:t xml:space="preserve"> Raadkamer van de correctionele rechtbank.</w:t>
      </w:r>
    </w:p>
  </w:footnote>
  <w:footnote w:id="41">
    <w:p w14:paraId="62617CF2" w14:textId="1C4AEF16" w:rsidR="00020B0F" w:rsidRPr="00050790" w:rsidRDefault="00020B0F" w:rsidP="00C46D38">
      <w:pPr>
        <w:rPr>
          <w:rFonts w:asciiTheme="minorHAnsi" w:eastAsia="Calibri" w:hAnsiTheme="minorHAnsi" w:cstheme="minorHAnsi"/>
          <w:sz w:val="20"/>
          <w:szCs w:val="20"/>
          <w:lang w:val="nl-NL"/>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nl-NL"/>
        </w:rPr>
        <w:t xml:space="preserve"> Mercuriale ‘Integrale versie van de studie voorgesteld in de heropeningsrede uitgesproken door de heer procureur-generaal bij het Hof van Cassatie van België Andre Henks op de plechtige terechtzitting van 2 september 2019’ (2019) p 15.</w:t>
      </w:r>
    </w:p>
  </w:footnote>
  <w:footnote w:id="42">
    <w:p w14:paraId="5103360A" w14:textId="6D9DBE6A" w:rsidR="00020B0F" w:rsidRPr="00050790" w:rsidRDefault="00020B0F" w:rsidP="00C46D38">
      <w:pPr>
        <w:rPr>
          <w:rFonts w:asciiTheme="minorHAnsi" w:eastAsia="Calibri" w:hAnsiTheme="minorHAnsi" w:cstheme="minorHAnsi"/>
          <w:sz w:val="20"/>
          <w:szCs w:val="20"/>
          <w:lang w:val="nl-NL"/>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nl-NL"/>
        </w:rPr>
        <w:t xml:space="preserve"> Art 74 </w:t>
      </w:r>
      <w:r w:rsidRPr="00050790">
        <w:rPr>
          <w:rFonts w:asciiTheme="minorHAnsi" w:hAnsiTheme="minorHAnsi" w:cstheme="minorHAnsi"/>
          <w:i/>
          <w:iCs/>
          <w:sz w:val="20"/>
          <w:szCs w:val="20"/>
          <w:lang w:val="nl-NL"/>
        </w:rPr>
        <w:t>Wet betreffende de toegang tot het grondgebied, het verblijf, de vestiging en de verwijdering van vreemdelingen</w:t>
      </w:r>
      <w:r w:rsidRPr="00050790">
        <w:rPr>
          <w:rFonts w:asciiTheme="minorHAnsi" w:eastAsia="Calibri" w:hAnsiTheme="minorHAnsi" w:cstheme="minorHAnsi"/>
          <w:sz w:val="20"/>
          <w:szCs w:val="20"/>
          <w:lang w:val="nl-NL"/>
        </w:rPr>
        <w:t xml:space="preserve">. </w:t>
      </w:r>
    </w:p>
  </w:footnote>
  <w:footnote w:id="43">
    <w:p w14:paraId="1D09F24F" w14:textId="77777777" w:rsidR="00020B0F" w:rsidRPr="00050790" w:rsidRDefault="00020B0F" w:rsidP="00916826">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Court of Cassation 26 November 2008, P.08/1533.F.</w:t>
      </w:r>
    </w:p>
  </w:footnote>
  <w:footnote w:id="44">
    <w:p w14:paraId="7859ACFA" w14:textId="77777777" w:rsidR="00020B0F" w:rsidRPr="00050790" w:rsidRDefault="00020B0F" w:rsidP="00C46D38">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Court of Cassation 11 April 2018 P.18.0257.F.</w:t>
      </w:r>
    </w:p>
  </w:footnote>
  <w:footnote w:id="45">
    <w:p w14:paraId="5A6C3C0A" w14:textId="0FEB571A" w:rsidR="00020B0F" w:rsidRPr="00050790" w:rsidRDefault="00020B0F" w:rsidP="00C46D38">
      <w:pPr>
        <w:pStyle w:val="FootnoteText"/>
        <w:rPr>
          <w:rFonts w:asciiTheme="minorHAnsi" w:hAnsiTheme="minorHAnsi" w:cstheme="minorHAnsi"/>
          <w:lang w:val="nl-NL"/>
        </w:rPr>
      </w:pPr>
      <w:r w:rsidRPr="00050790">
        <w:rPr>
          <w:rStyle w:val="FootnoteReference"/>
          <w:rFonts w:asciiTheme="minorHAnsi" w:hAnsiTheme="minorHAnsi" w:cstheme="minorHAnsi"/>
        </w:rPr>
        <w:footnoteRef/>
      </w:r>
      <w:r w:rsidRPr="00050790">
        <w:rPr>
          <w:rFonts w:asciiTheme="minorHAnsi" w:hAnsiTheme="minorHAnsi" w:cstheme="minorHAnsi"/>
          <w:lang w:val="nl-NL"/>
        </w:rPr>
        <w:t xml:space="preserve"> </w:t>
      </w:r>
      <w:r w:rsidRPr="00050790">
        <w:rPr>
          <w:rFonts w:asciiTheme="minorHAnsi" w:eastAsia="Calibri" w:hAnsiTheme="minorHAnsi" w:cstheme="minorHAnsi"/>
          <w:lang w:val="nl-NL"/>
        </w:rPr>
        <w:t xml:space="preserve">Art 72 </w:t>
      </w:r>
      <w:r w:rsidRPr="00050790">
        <w:rPr>
          <w:rFonts w:asciiTheme="minorHAnsi" w:hAnsiTheme="minorHAnsi" w:cstheme="minorHAnsi"/>
          <w:i/>
          <w:iCs/>
          <w:lang w:val="nl-NL"/>
        </w:rPr>
        <w:t>Wet betreffende de toegang tot het grondgebied, het verblijf, de vestiging en de verwijdering van vreemdelingen.</w:t>
      </w:r>
      <w:r w:rsidRPr="00050790">
        <w:rPr>
          <w:rFonts w:asciiTheme="minorHAnsi" w:hAnsiTheme="minorHAnsi" w:cstheme="minorHAnsi"/>
          <w:lang w:val="nl-NL"/>
        </w:rPr>
        <w:t xml:space="preserve"> See also </w:t>
      </w:r>
      <w:r w:rsidRPr="00050790">
        <w:rPr>
          <w:rFonts w:asciiTheme="minorHAnsi" w:eastAsia="Calibri" w:hAnsiTheme="minorHAnsi" w:cstheme="minorHAnsi"/>
          <w:lang w:val="nl-NL"/>
        </w:rPr>
        <w:t>Mercuriale ‘Integrale versie van de studie voorgesteld in de heropeningsrede uitgesproken door de heer procureur-generaal bij het Hof van Cassatie van België Andre Henks op de plechtige terechtzitting van 2 september 2019’ (2019) p 12.</w:t>
      </w:r>
    </w:p>
  </w:footnote>
  <w:footnote w:id="46">
    <w:p w14:paraId="09550AD1" w14:textId="7F151D81" w:rsidR="00020B0F" w:rsidRPr="00050790" w:rsidRDefault="00020B0F" w:rsidP="00C46D38">
      <w:pPr>
        <w:rPr>
          <w:rFonts w:asciiTheme="minorHAns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hAnsiTheme="minorHAnsi" w:cstheme="minorHAnsi"/>
          <w:sz w:val="20"/>
          <w:szCs w:val="20"/>
        </w:rPr>
        <w:t xml:space="preserve"> </w:t>
      </w:r>
      <w:r w:rsidRPr="00050790">
        <w:rPr>
          <w:rFonts w:asciiTheme="minorHAnsi" w:eastAsia="Calibri" w:hAnsiTheme="minorHAnsi" w:cstheme="minorHAnsi"/>
          <w:sz w:val="20"/>
          <w:szCs w:val="20"/>
        </w:rPr>
        <w:t xml:space="preserve">S. Sarolea, ‘Detention of Migrants in Belgium and the Criminal Judge: A Lewis Carroll World’ in M. Moraru, G. Cornelissen, P. De Bruycker (eds) </w:t>
      </w:r>
      <w:r w:rsidRPr="00050790">
        <w:rPr>
          <w:rFonts w:asciiTheme="minorHAnsi" w:eastAsia="Calibri" w:hAnsiTheme="minorHAnsi" w:cstheme="minorHAnsi"/>
          <w:i/>
          <w:sz w:val="20"/>
          <w:szCs w:val="20"/>
        </w:rPr>
        <w:t>Law and Judicial Dialogue on the Return of Irregular Migrants from the European Union</w:t>
      </w:r>
      <w:r w:rsidRPr="00050790">
        <w:rPr>
          <w:rFonts w:asciiTheme="minorHAnsi" w:eastAsia="Calibri" w:hAnsiTheme="minorHAnsi" w:cstheme="minorHAnsi"/>
          <w:sz w:val="20"/>
          <w:szCs w:val="20"/>
        </w:rPr>
        <w:t>,(2020) 99 Modern Studies in European Law p 268.</w:t>
      </w:r>
    </w:p>
  </w:footnote>
  <w:footnote w:id="47">
    <w:p w14:paraId="4339F759" w14:textId="77777777" w:rsidR="00020B0F" w:rsidRPr="00050790" w:rsidRDefault="00020B0F" w:rsidP="007D76B8">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vertAlign w:val="superscript"/>
        </w:rPr>
        <w:t xml:space="preserve"> </w:t>
      </w:r>
      <w:r w:rsidRPr="00050790">
        <w:rPr>
          <w:rFonts w:asciiTheme="minorHAnsi" w:eastAsia="Calibri" w:hAnsiTheme="minorHAnsi" w:cstheme="minorHAnsi"/>
          <w:sz w:val="20"/>
          <w:szCs w:val="20"/>
        </w:rPr>
        <w:t>Court of Cassation 2 January 2013, P.12.2019.F/1.</w:t>
      </w:r>
    </w:p>
  </w:footnote>
  <w:footnote w:id="48">
    <w:p w14:paraId="13136235" w14:textId="5B6E217C" w:rsidR="00020B0F" w:rsidRPr="00050790" w:rsidRDefault="00020B0F" w:rsidP="00C46D38">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See Court of Cassation (</w:t>
      </w:r>
      <w:r w:rsidRPr="00050790">
        <w:rPr>
          <w:rFonts w:asciiTheme="minorHAnsi" w:eastAsia="Calibri" w:hAnsiTheme="minorHAnsi" w:cstheme="minorHAnsi"/>
          <w:i/>
          <w:iCs/>
          <w:sz w:val="20"/>
          <w:szCs w:val="20"/>
        </w:rPr>
        <w:t>Hof van Cassatie</w:t>
      </w:r>
      <w:r w:rsidRPr="00050790">
        <w:rPr>
          <w:rFonts w:asciiTheme="minorHAnsi" w:eastAsia="Calibri" w:hAnsiTheme="minorHAnsi" w:cstheme="minorHAnsi"/>
          <w:sz w:val="20"/>
          <w:szCs w:val="20"/>
        </w:rPr>
        <w:t>)17 November 2010, P.10.1676.F.</w:t>
      </w:r>
    </w:p>
  </w:footnote>
  <w:footnote w:id="49">
    <w:p w14:paraId="69AB4C70" w14:textId="55DC6C6B" w:rsidR="00020B0F" w:rsidRPr="00050790" w:rsidRDefault="00020B0F" w:rsidP="00C46D38">
      <w:pPr>
        <w:rPr>
          <w:rFonts w:asciiTheme="minorHAns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hAnsiTheme="minorHAnsi" w:cstheme="minorHAnsi"/>
          <w:sz w:val="20"/>
          <w:szCs w:val="20"/>
        </w:rPr>
        <w:t xml:space="preserve"> </w:t>
      </w:r>
      <w:r w:rsidRPr="00050790">
        <w:rPr>
          <w:rFonts w:asciiTheme="minorHAnsi" w:eastAsia="Calibri" w:hAnsiTheme="minorHAnsi" w:cstheme="minorHAnsi"/>
          <w:sz w:val="20"/>
          <w:szCs w:val="20"/>
        </w:rPr>
        <w:t>S. Sarolea, ‘Detention of Migrants in Belgium and the Criminal Judge’, p 268.</w:t>
      </w:r>
    </w:p>
  </w:footnote>
  <w:footnote w:id="50">
    <w:p w14:paraId="6BA065F0" w14:textId="69EBB7D4" w:rsidR="00020B0F" w:rsidRPr="00050790" w:rsidRDefault="00020B0F" w:rsidP="00C46D38">
      <w:pPr>
        <w:rPr>
          <w:rFonts w:asciiTheme="minorHAnsi" w:eastAsia="Calibri" w:hAnsiTheme="minorHAnsi" w:cstheme="minorHAnsi"/>
          <w:sz w:val="20"/>
          <w:szCs w:val="20"/>
          <w:lang w:val="nl-NL"/>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nl-NL"/>
        </w:rPr>
        <w:t xml:space="preserve"> Mercuriale ‘Integrale versie van de studie voorgesteld in de heropeningsrede uitgesproken door de heer procureur-generaal bij het Hof van Cassatie van België Andre Henks’, p 13.</w:t>
      </w:r>
    </w:p>
  </w:footnote>
  <w:footnote w:id="51">
    <w:p w14:paraId="03738EB2" w14:textId="47F427F2" w:rsidR="00020B0F" w:rsidRPr="00050790" w:rsidRDefault="00020B0F" w:rsidP="00C46D38">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Artt 7(5), 29(2), 44 septies(1)(2),74/5(3)(1).</w:t>
      </w:r>
    </w:p>
  </w:footnote>
  <w:footnote w:id="52">
    <w:p w14:paraId="0335E25D" w14:textId="77777777" w:rsidR="00020B0F" w:rsidRPr="00050790" w:rsidRDefault="00020B0F" w:rsidP="00C46D38">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See Court of Cassation 17 November 2010, P.10.1676.F.</w:t>
      </w:r>
    </w:p>
  </w:footnote>
  <w:footnote w:id="53">
    <w:p w14:paraId="39A171C4" w14:textId="77777777" w:rsidR="00020B0F" w:rsidRPr="00050790" w:rsidRDefault="00020B0F" w:rsidP="005C3FF9">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Court of Cassation 21 January 2014, P.14.0005.N.</w:t>
      </w:r>
    </w:p>
  </w:footnote>
  <w:footnote w:id="54">
    <w:p w14:paraId="01964872" w14:textId="77777777" w:rsidR="00020B0F" w:rsidRPr="00050790" w:rsidRDefault="00020B0F" w:rsidP="005C3FF9">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Court of Cassation 27 June 2012, P.12.1028.F/1.</w:t>
      </w:r>
    </w:p>
  </w:footnote>
  <w:footnote w:id="55">
    <w:p w14:paraId="7D65E187" w14:textId="77777777" w:rsidR="00020B0F" w:rsidRPr="00050790" w:rsidRDefault="00020B0F" w:rsidP="005C3FF9">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Court of Cassation 2 January 2013, P.12.2050.N/1.</w:t>
      </w:r>
    </w:p>
  </w:footnote>
  <w:footnote w:id="56">
    <w:p w14:paraId="7564F524" w14:textId="57666832" w:rsidR="00020B0F" w:rsidRPr="00050790" w:rsidRDefault="00020B0F">
      <w:pPr>
        <w:pStyle w:val="FootnoteText"/>
        <w:rPr>
          <w:rFonts w:asciiTheme="minorHAnsi" w:hAnsiTheme="minorHAnsi" w:cstheme="minorHAnsi"/>
          <w:lang w:val="fr-FR"/>
        </w:rPr>
      </w:pPr>
      <w:r w:rsidRPr="00050790">
        <w:rPr>
          <w:rStyle w:val="FootnoteReference"/>
          <w:rFonts w:asciiTheme="minorHAnsi" w:hAnsiTheme="minorHAnsi" w:cstheme="minorHAnsi"/>
        </w:rPr>
        <w:footnoteRef/>
      </w:r>
      <w:r w:rsidRPr="00050790">
        <w:rPr>
          <w:rFonts w:asciiTheme="minorHAnsi" w:hAnsiTheme="minorHAnsi" w:cstheme="minorHAnsi"/>
          <w:lang w:val="fr-FR"/>
        </w:rPr>
        <w:t xml:space="preserve"> Ibid, para 6.</w:t>
      </w:r>
    </w:p>
  </w:footnote>
  <w:footnote w:id="57">
    <w:p w14:paraId="422CBBAD" w14:textId="3883C997" w:rsidR="00020B0F" w:rsidRPr="00050790" w:rsidRDefault="00020B0F" w:rsidP="00097D4F">
      <w:pPr>
        <w:rPr>
          <w:rFonts w:asciiTheme="minorHAnsi" w:eastAsia="Calibri" w:hAnsiTheme="minorHAnsi" w:cstheme="minorHAnsi"/>
          <w:sz w:val="20"/>
          <w:szCs w:val="20"/>
          <w:lang w:val="fr-FR"/>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fr-FR"/>
        </w:rPr>
        <w:t xml:space="preserve"> Art 66 French Constitution (</w:t>
      </w:r>
      <w:r w:rsidRPr="00050790">
        <w:rPr>
          <w:rFonts w:asciiTheme="minorHAnsi" w:eastAsia="Calibri" w:hAnsiTheme="minorHAnsi" w:cstheme="minorHAnsi"/>
          <w:i/>
          <w:iCs/>
          <w:sz w:val="20"/>
          <w:szCs w:val="20"/>
          <w:lang w:val="fr-FR"/>
        </w:rPr>
        <w:t>Constitution Francaise</w:t>
      </w:r>
      <w:r w:rsidRPr="00050790">
        <w:rPr>
          <w:rFonts w:asciiTheme="minorHAnsi" w:eastAsia="Calibri" w:hAnsiTheme="minorHAnsi" w:cstheme="minorHAnsi"/>
          <w:sz w:val="20"/>
          <w:szCs w:val="20"/>
          <w:lang w:val="fr-FR"/>
        </w:rPr>
        <w:t xml:space="preserve">), 4 October 1958. </w:t>
      </w:r>
    </w:p>
  </w:footnote>
  <w:footnote w:id="58">
    <w:p w14:paraId="33520766" w14:textId="77777777" w:rsidR="00020B0F" w:rsidRPr="00050790" w:rsidRDefault="00020B0F" w:rsidP="000F0967">
      <w:pPr>
        <w:pStyle w:val="FootnoteText"/>
        <w:rPr>
          <w:rFonts w:asciiTheme="minorHAnsi" w:hAnsiTheme="minorHAnsi" w:cstheme="minorHAnsi"/>
          <w:lang w:val="fr-FR"/>
        </w:rPr>
      </w:pPr>
      <w:r w:rsidRPr="00050790">
        <w:rPr>
          <w:rStyle w:val="FootnoteReference"/>
          <w:rFonts w:asciiTheme="minorHAnsi" w:hAnsiTheme="minorHAnsi" w:cstheme="minorHAnsi"/>
        </w:rPr>
        <w:footnoteRef/>
      </w:r>
      <w:r w:rsidRPr="00050790">
        <w:rPr>
          <w:rFonts w:asciiTheme="minorHAnsi" w:hAnsiTheme="minorHAnsi" w:cstheme="minorHAnsi"/>
          <w:lang w:val="fr-FR"/>
        </w:rPr>
        <w:t xml:space="preserve"> </w:t>
      </w:r>
      <w:r w:rsidRPr="00050790">
        <w:rPr>
          <w:rFonts w:asciiTheme="minorHAnsi" w:eastAsia="Calibri" w:hAnsiTheme="minorHAnsi" w:cstheme="minorHAnsi"/>
          <w:i/>
          <w:iCs/>
          <w:lang w:val="fr-FR"/>
        </w:rPr>
        <w:t>Juge des libertés et de la détention</w:t>
      </w:r>
      <w:r w:rsidRPr="00050790">
        <w:rPr>
          <w:rFonts w:asciiTheme="minorHAnsi" w:eastAsia="Calibri" w:hAnsiTheme="minorHAnsi" w:cstheme="minorHAnsi"/>
          <w:lang w:val="fr-FR"/>
        </w:rPr>
        <w:t>.</w:t>
      </w:r>
    </w:p>
  </w:footnote>
  <w:footnote w:id="59">
    <w:p w14:paraId="23A0AB37" w14:textId="0D9CCD97" w:rsidR="00020B0F" w:rsidRPr="00050790" w:rsidRDefault="00020B0F" w:rsidP="00097D4F">
      <w:pPr>
        <w:rPr>
          <w:rFonts w:asciiTheme="minorHAnsi" w:eastAsia="Calibri" w:hAnsiTheme="minorHAnsi" w:cstheme="minorHAnsi"/>
          <w:sz w:val="20"/>
          <w:szCs w:val="20"/>
          <w:lang w:val="fr-FR"/>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fr-FR"/>
        </w:rPr>
        <w:t xml:space="preserve"> Art 33 Loi n° 2016-274 du 7 mars 2016 relative au droit des étrangers en France.</w:t>
      </w:r>
    </w:p>
  </w:footnote>
  <w:footnote w:id="60">
    <w:p w14:paraId="3D0048B7" w14:textId="05C4D915" w:rsidR="00020B0F" w:rsidRPr="00050790" w:rsidRDefault="00020B0F">
      <w:pPr>
        <w:pStyle w:val="FootnoteText"/>
        <w:rPr>
          <w:rFonts w:asciiTheme="minorHAnsi" w:hAnsiTheme="minorHAnsi" w:cstheme="minorHAnsi"/>
          <w:lang w:val="fr-FR"/>
        </w:rPr>
      </w:pPr>
      <w:r w:rsidRPr="00050790">
        <w:rPr>
          <w:rStyle w:val="FootnoteReference"/>
          <w:rFonts w:asciiTheme="minorHAnsi" w:hAnsiTheme="minorHAnsi" w:cstheme="minorHAnsi"/>
        </w:rPr>
        <w:footnoteRef/>
      </w:r>
      <w:r w:rsidRPr="00050790">
        <w:rPr>
          <w:rFonts w:asciiTheme="minorHAnsi" w:hAnsiTheme="minorHAnsi" w:cstheme="minorHAnsi"/>
          <w:lang w:val="fr-FR"/>
        </w:rPr>
        <w:t xml:space="preserve"> </w:t>
      </w:r>
      <w:r w:rsidRPr="00050790">
        <w:rPr>
          <w:rFonts w:asciiTheme="minorHAnsi" w:hAnsiTheme="minorHAnsi" w:cstheme="minorHAnsi"/>
          <w:i/>
          <w:iCs/>
          <w:lang w:val="fr-FR"/>
        </w:rPr>
        <w:t>Tribunal Administratif</w:t>
      </w:r>
      <w:r w:rsidRPr="00050790">
        <w:rPr>
          <w:rFonts w:asciiTheme="minorHAnsi" w:hAnsiTheme="minorHAnsi" w:cstheme="minorHAnsi"/>
          <w:lang w:val="fr-FR"/>
        </w:rPr>
        <w:t xml:space="preserve">. </w:t>
      </w:r>
    </w:p>
  </w:footnote>
  <w:footnote w:id="61">
    <w:p w14:paraId="0C3C59F3" w14:textId="1DC23360" w:rsidR="00020B0F" w:rsidRPr="00050790" w:rsidRDefault="00020B0F">
      <w:pPr>
        <w:pStyle w:val="FootnoteText"/>
        <w:rPr>
          <w:rFonts w:asciiTheme="minorHAnsi" w:hAnsiTheme="minorHAnsi" w:cstheme="minorHAnsi"/>
          <w:lang w:val="fr-FR"/>
        </w:rPr>
      </w:pPr>
      <w:r w:rsidRPr="00050790">
        <w:rPr>
          <w:rStyle w:val="FootnoteReference"/>
          <w:rFonts w:asciiTheme="minorHAnsi" w:hAnsiTheme="minorHAnsi" w:cstheme="minorHAnsi"/>
        </w:rPr>
        <w:footnoteRef/>
      </w:r>
      <w:r w:rsidRPr="00050790">
        <w:rPr>
          <w:rFonts w:asciiTheme="minorHAnsi" w:hAnsiTheme="minorHAnsi" w:cstheme="minorHAnsi"/>
          <w:lang w:val="fr-FR"/>
        </w:rPr>
        <w:t xml:space="preserve"> Art 33 </w:t>
      </w:r>
      <w:r w:rsidRPr="00050790">
        <w:rPr>
          <w:rFonts w:asciiTheme="minorHAnsi" w:eastAsia="Calibri" w:hAnsiTheme="minorHAnsi" w:cstheme="minorHAnsi"/>
          <w:i/>
          <w:iCs/>
          <w:lang w:val="fr-FR"/>
        </w:rPr>
        <w:t>Loi n° 2016-274 du 7 mars 2016 relative au droit des étrangers en France</w:t>
      </w:r>
      <w:r w:rsidRPr="00050790">
        <w:rPr>
          <w:rFonts w:asciiTheme="minorHAnsi" w:eastAsia="Calibri" w:hAnsiTheme="minorHAnsi" w:cstheme="minorHAnsi"/>
          <w:lang w:val="fr-FR"/>
        </w:rPr>
        <w:t>.</w:t>
      </w:r>
    </w:p>
  </w:footnote>
  <w:footnote w:id="62">
    <w:p w14:paraId="500F836E" w14:textId="66FDB373" w:rsidR="00020B0F" w:rsidRPr="00050790" w:rsidRDefault="00020B0F" w:rsidP="00801EB5">
      <w:pPr>
        <w:rPr>
          <w:rFonts w:asciiTheme="minorHAnsi" w:eastAsia="Calibri" w:hAnsiTheme="minorHAnsi" w:cstheme="minorHAnsi"/>
          <w:iCs/>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fr-FR"/>
        </w:rPr>
        <w:t xml:space="preserve"> Annexe 1 : FICHE : La répartition des compétences entre les deux ordres juridictionnels après l’entrée en vigueur des dispositions de la loi n°2016-274 du 7 mars 2016 relative au droit des étrangers in</w:t>
      </w:r>
      <w:r w:rsidRPr="00050790">
        <w:rPr>
          <w:rFonts w:asciiTheme="minorHAnsi" w:eastAsia="Calibri" w:hAnsiTheme="minorHAnsi" w:cstheme="minorHAnsi"/>
          <w:i/>
          <w:sz w:val="20"/>
          <w:szCs w:val="20"/>
          <w:lang w:val="fr-FR"/>
        </w:rPr>
        <w:t xml:space="preserve"> BOMJ n°2016-11 du 30 novembre 2016 – JUSC1631527C.</w:t>
      </w:r>
      <w:r w:rsidRPr="00050790">
        <w:rPr>
          <w:rFonts w:asciiTheme="minorHAnsi" w:eastAsia="Calibri" w:hAnsiTheme="minorHAnsi" w:cstheme="minorHAnsi"/>
          <w:iCs/>
          <w:sz w:val="20"/>
          <w:szCs w:val="20"/>
          <w:lang w:val="fr-FR"/>
        </w:rPr>
        <w:t xml:space="preserve"> </w:t>
      </w:r>
      <w:r w:rsidRPr="00050790">
        <w:rPr>
          <w:rFonts w:asciiTheme="minorHAnsi" w:eastAsia="Calibri" w:hAnsiTheme="minorHAnsi" w:cstheme="minorHAnsi"/>
          <w:iCs/>
          <w:sz w:val="20"/>
          <w:szCs w:val="20"/>
        </w:rPr>
        <w:t xml:space="preserve">This includes the </w:t>
      </w:r>
      <w:r w:rsidRPr="00050790">
        <w:rPr>
          <w:rFonts w:asciiTheme="minorHAnsi" w:eastAsia="Calibri" w:hAnsiTheme="minorHAnsi" w:cstheme="minorHAnsi"/>
          <w:sz w:val="20"/>
          <w:szCs w:val="20"/>
        </w:rPr>
        <w:t>‘external lawfulness’ (the competency of the author of the act, procedural or formal errors) and internal lawfulness (error of fact, error of law or error of legal qualification).</w:t>
      </w:r>
    </w:p>
  </w:footnote>
  <w:footnote w:id="63">
    <w:p w14:paraId="0A9F5551" w14:textId="42B7BA3C" w:rsidR="00020B0F" w:rsidRPr="00050790" w:rsidRDefault="00020B0F" w:rsidP="00EF764B">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fr-FR"/>
        </w:rPr>
        <w:t xml:space="preserve"> It is up to the JLD : ‘</w:t>
      </w:r>
      <w:r w:rsidRPr="00050790">
        <w:rPr>
          <w:rFonts w:asciiTheme="minorHAnsi" w:hAnsiTheme="minorHAnsi" w:cstheme="minorHAnsi"/>
          <w:sz w:val="20"/>
          <w:szCs w:val="20"/>
          <w:shd w:val="clear" w:color="auto" w:fill="FFFFFF"/>
          <w:lang w:val="fr-FR"/>
        </w:rPr>
        <w:t xml:space="preserve">de mettre fin, à tout moment, à la rétention administrative, lorsque des circonstances de droit ou de fait le justifient, résultant, notamment, de la recherche de la conformité au droit de l'Union de la mesure de rétention’. </w:t>
      </w:r>
      <w:r w:rsidRPr="00050790">
        <w:rPr>
          <w:rFonts w:asciiTheme="minorHAnsi" w:eastAsia="Calibri" w:hAnsiTheme="minorHAnsi" w:cstheme="minorHAnsi"/>
          <w:sz w:val="20"/>
          <w:szCs w:val="20"/>
        </w:rPr>
        <w:t>Cass 1 ère civ, 9 November 2016, np 15-27.357, available at &lt;https://www.legifrance.gouv.fr/juri/id/JURITEXT000033374926/&gt; accessed 15 March 2021.</w:t>
      </w:r>
    </w:p>
  </w:footnote>
  <w:footnote w:id="64">
    <w:p w14:paraId="0EA95B54" w14:textId="1D705C14" w:rsidR="00020B0F" w:rsidRPr="00050790" w:rsidRDefault="00020B0F" w:rsidP="00EF764B">
      <w:pPr>
        <w:rPr>
          <w:rFonts w:asciiTheme="minorHAnsi" w:eastAsia="Calibri" w:hAnsiTheme="minorHAnsi" w:cstheme="minorHAnsi"/>
          <w:sz w:val="20"/>
          <w:szCs w:val="20"/>
          <w:lang w:val="fr-FR"/>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fr-FR"/>
        </w:rPr>
        <w:t xml:space="preserve"> </w:t>
      </w:r>
      <w:r w:rsidRPr="00050790">
        <w:rPr>
          <w:rFonts w:asciiTheme="minorHAnsi" w:hAnsiTheme="minorHAnsi" w:cstheme="minorHAnsi"/>
          <w:color w:val="000000"/>
          <w:sz w:val="20"/>
          <w:szCs w:val="20"/>
          <w:shd w:val="clear" w:color="auto" w:fill="FFFFFF"/>
          <w:lang w:val="fr-FR"/>
        </w:rPr>
        <w:t>Association Nationale d'Assistance aux Frontières pour les Etrangers (Anafé),</w:t>
      </w:r>
      <w:r w:rsidRPr="00050790">
        <w:rPr>
          <w:rFonts w:asciiTheme="minorHAnsi" w:hAnsiTheme="minorHAnsi" w:cstheme="minorHAnsi"/>
          <w:i/>
          <w:iCs/>
          <w:color w:val="000000"/>
          <w:sz w:val="20"/>
          <w:szCs w:val="20"/>
          <w:shd w:val="clear" w:color="auto" w:fill="FFFFFF"/>
          <w:lang w:val="fr-FR"/>
        </w:rPr>
        <w:t xml:space="preserve"> Compétence du Juge des libertés et de la détention : Quels moyens invoquer au profit des étrangers maintenus en zone d’attente? </w:t>
      </w:r>
      <w:r w:rsidRPr="00050790">
        <w:rPr>
          <w:rFonts w:asciiTheme="minorHAnsi" w:hAnsiTheme="minorHAnsi" w:cstheme="minorHAnsi"/>
          <w:color w:val="000000"/>
          <w:sz w:val="20"/>
          <w:szCs w:val="20"/>
          <w:shd w:val="clear" w:color="auto" w:fill="FFFFFF"/>
          <w:lang w:val="fr-FR"/>
        </w:rPr>
        <w:t>available at &lt;</w:t>
      </w:r>
      <w:r w:rsidRPr="00050790">
        <w:rPr>
          <w:rFonts w:asciiTheme="minorHAnsi" w:hAnsiTheme="minorHAnsi" w:cstheme="minorHAnsi"/>
          <w:sz w:val="20"/>
          <w:szCs w:val="20"/>
          <w:shd w:val="clear" w:color="auto" w:fill="FFFFFF"/>
          <w:lang w:val="fr-FR"/>
        </w:rPr>
        <w:t>http://www.anafe.org/IMG/pdf/note-competence-juin_2010-_quels_moyens_invoquer_au_profit_des_etrangers_maintenus_en_za-2.pdf</w:t>
      </w:r>
      <w:r w:rsidRPr="00050790">
        <w:rPr>
          <w:rFonts w:asciiTheme="minorHAnsi" w:hAnsiTheme="minorHAnsi" w:cstheme="minorHAnsi"/>
          <w:sz w:val="20"/>
          <w:szCs w:val="20"/>
          <w:lang w:val="fr-FR"/>
        </w:rPr>
        <w:t xml:space="preserve">&gt; accessed 16 March 2021, </w:t>
      </w:r>
      <w:r w:rsidRPr="00050790">
        <w:rPr>
          <w:rFonts w:asciiTheme="minorHAnsi" w:eastAsia="Calibri" w:hAnsiTheme="minorHAnsi" w:cstheme="minorHAnsi"/>
          <w:sz w:val="20"/>
          <w:szCs w:val="20"/>
          <w:lang w:val="fr-FR"/>
        </w:rPr>
        <w:t xml:space="preserve">p 3. </w:t>
      </w:r>
    </w:p>
  </w:footnote>
  <w:footnote w:id="65">
    <w:p w14:paraId="5560B94F" w14:textId="4FDDEFFE" w:rsidR="00020B0F" w:rsidRPr="00050790" w:rsidRDefault="00020B0F" w:rsidP="00EF764B">
      <w:pPr>
        <w:pStyle w:val="FootnoteText"/>
        <w:rPr>
          <w:rFonts w:asciiTheme="minorHAnsi" w:hAnsiTheme="minorHAnsi" w:cstheme="minorHAnsi"/>
          <w:lang w:val="fr-FR"/>
        </w:rPr>
      </w:pPr>
      <w:r w:rsidRPr="00050790">
        <w:rPr>
          <w:rStyle w:val="FootnoteReference"/>
          <w:rFonts w:asciiTheme="minorHAnsi" w:hAnsiTheme="minorHAnsi" w:cstheme="minorHAnsi"/>
        </w:rPr>
        <w:footnoteRef/>
      </w:r>
      <w:r w:rsidRPr="00050790">
        <w:rPr>
          <w:rFonts w:asciiTheme="minorHAnsi" w:hAnsiTheme="minorHAnsi" w:cstheme="minorHAnsi"/>
          <w:lang w:val="fr-FR"/>
        </w:rPr>
        <w:t xml:space="preserve"> Les Amoureux au ban public, La Cimade and Ligue de droits de l’homme, Presentation des personnes etrangères retenues devant le Juge des Libertés et de la Détention du TGI de Lyon : Regard Citoyen sure l’impact de la réforme du 7 Mars 2016, available at &lt; www.lacimade.org/wp-content/uploads/2018/10/Rapport-dobservations-citoyennes_r%C3%A9tention-administrative-JLD-de-Lyon_2016-2017.pdf&gt; accessed 15 March 2021, p 16. </w:t>
      </w:r>
    </w:p>
  </w:footnote>
  <w:footnote w:id="66">
    <w:p w14:paraId="3FA0614C" w14:textId="71106B51" w:rsidR="00020B0F" w:rsidRPr="00050790" w:rsidRDefault="00020B0F" w:rsidP="00EF764B">
      <w:pPr>
        <w:rPr>
          <w:rFonts w:asciiTheme="minorHAnsi" w:eastAsia="Calibri" w:hAnsiTheme="minorHAnsi" w:cstheme="minorHAnsi"/>
          <w:sz w:val="20"/>
          <w:szCs w:val="20"/>
          <w:lang w:val="fr-FR"/>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fr-FR"/>
        </w:rPr>
        <w:t xml:space="preserve"> Ibid, p 16.</w:t>
      </w:r>
    </w:p>
  </w:footnote>
  <w:footnote w:id="67">
    <w:p w14:paraId="53BB5A4E" w14:textId="210B6784" w:rsidR="00020B0F" w:rsidRPr="00050790" w:rsidRDefault="00020B0F" w:rsidP="00EF764B">
      <w:pPr>
        <w:pStyle w:val="Heading1"/>
        <w:spacing w:before="0"/>
        <w:rPr>
          <w:rFonts w:asciiTheme="minorHAnsi" w:hAnsiTheme="minorHAnsi" w:cstheme="minorHAnsi"/>
          <w:b w:val="0"/>
          <w:color w:val="auto"/>
          <w:sz w:val="20"/>
          <w:szCs w:val="20"/>
          <w:lang w:val="fr-FR"/>
        </w:rPr>
      </w:pPr>
      <w:r w:rsidRPr="00050790">
        <w:rPr>
          <w:rFonts w:asciiTheme="minorHAnsi" w:hAnsiTheme="minorHAnsi" w:cstheme="minorHAnsi"/>
          <w:color w:val="auto"/>
          <w:sz w:val="20"/>
          <w:szCs w:val="20"/>
          <w:vertAlign w:val="superscript"/>
        </w:rPr>
        <w:footnoteRef/>
      </w:r>
      <w:r w:rsidRPr="00050790">
        <w:rPr>
          <w:rFonts w:asciiTheme="minorHAnsi" w:eastAsia="Calibri" w:hAnsiTheme="minorHAnsi" w:cstheme="minorHAnsi"/>
          <w:color w:val="auto"/>
          <w:sz w:val="20"/>
          <w:szCs w:val="20"/>
          <w:lang w:val="fr-FR"/>
        </w:rPr>
        <w:t xml:space="preserve"> </w:t>
      </w:r>
      <w:r w:rsidRPr="00050790">
        <w:rPr>
          <w:rFonts w:asciiTheme="minorHAnsi" w:hAnsiTheme="minorHAnsi" w:cstheme="minorHAnsi"/>
          <w:b w:val="0"/>
          <w:bCs/>
          <w:color w:val="auto"/>
          <w:sz w:val="20"/>
          <w:szCs w:val="20"/>
          <w:lang w:val="fr-FR"/>
        </w:rPr>
        <w:t xml:space="preserve">Arrêt n°270 5 March 2020 (19-23.287) - Cour de cassation - Première chambre civile - ECLI:FR:CCASS:2020:C100270, discussed in </w:t>
      </w:r>
      <w:r w:rsidRPr="00050790">
        <w:rPr>
          <w:rFonts w:asciiTheme="minorHAnsi" w:eastAsia="Calibri" w:hAnsiTheme="minorHAnsi" w:cstheme="minorHAnsi"/>
          <w:b w:val="0"/>
          <w:bCs/>
          <w:i/>
          <w:iCs/>
          <w:color w:val="auto"/>
          <w:sz w:val="20"/>
          <w:szCs w:val="20"/>
          <w:lang w:val="fr-FR"/>
        </w:rPr>
        <w:t>Soins psychiatriques: pas d'obligation pour le JLD de soulever les moyens de droit que les parties auraient oubliés</w:t>
      </w:r>
      <w:r w:rsidRPr="00050790">
        <w:rPr>
          <w:rFonts w:asciiTheme="minorHAnsi" w:hAnsiTheme="minorHAnsi" w:cstheme="minorHAnsi"/>
          <w:b w:val="0"/>
          <w:bCs/>
          <w:color w:val="auto"/>
          <w:sz w:val="20"/>
          <w:szCs w:val="20"/>
          <w:lang w:val="fr-FR"/>
        </w:rPr>
        <w:t xml:space="preserve"> available at &lt;www.editions-legislatives.fr/actualite/soins-psychiatriques-pas-d-obligation-pour-le-jld-de-soulever-les-moyens-de-droit-que-les-parties-au&gt; accessed 15 March 2020. </w:t>
      </w:r>
    </w:p>
  </w:footnote>
  <w:footnote w:id="68">
    <w:p w14:paraId="71C42A77" w14:textId="02062992" w:rsidR="00020B0F" w:rsidRPr="00050790" w:rsidRDefault="00020B0F" w:rsidP="00EF764B">
      <w:pPr>
        <w:rPr>
          <w:rFonts w:asciiTheme="minorHAnsi" w:eastAsia="Calibri" w:hAnsiTheme="minorHAnsi" w:cstheme="minorHAnsi"/>
          <w:sz w:val="20"/>
          <w:szCs w:val="20"/>
          <w:lang w:val="fr-FR"/>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fr-FR"/>
        </w:rPr>
        <w:t xml:space="preserve"> Ibid. </w:t>
      </w:r>
    </w:p>
  </w:footnote>
  <w:footnote w:id="69">
    <w:p w14:paraId="06C1829F" w14:textId="0BC988CA" w:rsidR="00020B0F" w:rsidRPr="00050790" w:rsidRDefault="00020B0F" w:rsidP="00EF764B">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fr-FR"/>
        </w:rPr>
        <w:t xml:space="preserve"> </w:t>
      </w:r>
      <w:r w:rsidRPr="00050790">
        <w:rPr>
          <w:rFonts w:asciiTheme="minorHAnsi" w:eastAsia="Calibri" w:hAnsiTheme="minorHAnsi" w:cstheme="minorHAnsi"/>
          <w:i/>
          <w:iCs/>
          <w:sz w:val="20"/>
          <w:szCs w:val="20"/>
          <w:lang w:val="fr-FR"/>
        </w:rPr>
        <w:t>Soins psychiatriques: pas d'obligation pour le JLD de soulever les moyens de droit que les parties auraient oubliés</w:t>
      </w:r>
      <w:r w:rsidRPr="00050790">
        <w:rPr>
          <w:rFonts w:asciiTheme="minorHAnsi" w:hAnsiTheme="minorHAnsi" w:cstheme="minorHAnsi"/>
          <w:sz w:val="20"/>
          <w:szCs w:val="20"/>
          <w:lang w:val="fr-FR"/>
        </w:rPr>
        <w:t xml:space="preserve"> available at &lt;www.editions-legislatives.fr/actualite/soins-psychiatriques-pas-d-obligation-pour-le-jld-de-soulever-les-moyens-de-droit-que-les-parties-au&gt; accessed 15 March 2020, which </w:t>
      </w:r>
      <w:r w:rsidRPr="00050790">
        <w:rPr>
          <w:rFonts w:asciiTheme="minorHAnsi" w:eastAsia="Calibri" w:hAnsiTheme="minorHAnsi" w:cstheme="minorHAnsi"/>
          <w:sz w:val="20"/>
          <w:szCs w:val="20"/>
          <w:lang w:val="fr-FR"/>
        </w:rPr>
        <w:t xml:space="preserve">refers to CE, 9 juin 1978, n° 02403 ; CE, 8 févr. </w:t>
      </w:r>
      <w:r w:rsidRPr="00050790">
        <w:rPr>
          <w:rFonts w:asciiTheme="minorHAnsi" w:eastAsia="Calibri" w:hAnsiTheme="minorHAnsi" w:cstheme="minorHAnsi"/>
          <w:sz w:val="20"/>
          <w:szCs w:val="20"/>
        </w:rPr>
        <w:t>1999, n° 185749).</w:t>
      </w:r>
    </w:p>
  </w:footnote>
  <w:footnote w:id="70">
    <w:p w14:paraId="367B9856" w14:textId="21B55EA3" w:rsidR="00020B0F" w:rsidRPr="00050790" w:rsidRDefault="00020B0F" w:rsidP="00EF764B">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Recital 26 Directive 2008/115/EC.</w:t>
      </w:r>
    </w:p>
  </w:footnote>
  <w:footnote w:id="71">
    <w:p w14:paraId="56917F8D" w14:textId="310D6539" w:rsidR="00020B0F" w:rsidRPr="00050790" w:rsidRDefault="00020B0F" w:rsidP="00896DDA">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w:t>
      </w:r>
      <w:r w:rsidRPr="00050790">
        <w:rPr>
          <w:rFonts w:asciiTheme="minorHAnsi" w:eastAsia="Calibri" w:hAnsiTheme="minorHAnsi" w:cstheme="minorHAnsi"/>
          <w:i/>
          <w:sz w:val="20"/>
          <w:szCs w:val="20"/>
        </w:rPr>
        <w:t>R v Secretary of State for the Home Department, ex parte Muboyayi</w:t>
      </w:r>
      <w:r w:rsidRPr="00050790">
        <w:rPr>
          <w:rFonts w:asciiTheme="minorHAnsi" w:eastAsia="Calibri" w:hAnsiTheme="minorHAnsi" w:cstheme="minorHAnsi"/>
          <w:sz w:val="20"/>
          <w:szCs w:val="20"/>
        </w:rPr>
        <w:t xml:space="preserve">, [1992] 1 QB 244. </w:t>
      </w:r>
    </w:p>
  </w:footnote>
  <w:footnote w:id="72">
    <w:p w14:paraId="0E442C3D" w14:textId="77777777" w:rsidR="00020B0F" w:rsidRPr="00050790" w:rsidRDefault="00020B0F" w:rsidP="007D36E2">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w:t>
      </w:r>
      <w:r w:rsidRPr="00050790">
        <w:rPr>
          <w:rFonts w:asciiTheme="minorHAnsi" w:eastAsia="Calibri" w:hAnsiTheme="minorHAnsi" w:cstheme="minorHAnsi"/>
          <w:i/>
          <w:sz w:val="20"/>
          <w:szCs w:val="20"/>
        </w:rPr>
        <w:t>DN (Rwanda) v Secretary of State for the Home Department</w:t>
      </w:r>
      <w:r w:rsidRPr="00050790">
        <w:rPr>
          <w:rFonts w:asciiTheme="minorHAnsi" w:eastAsia="Calibri" w:hAnsiTheme="minorHAnsi" w:cstheme="minorHAnsi"/>
          <w:sz w:val="20"/>
          <w:szCs w:val="20"/>
        </w:rPr>
        <w:t xml:space="preserve"> [2020] UKSC 7.</w:t>
      </w:r>
    </w:p>
  </w:footnote>
  <w:footnote w:id="73">
    <w:p w14:paraId="5AD6F4A7" w14:textId="6F02DC8B" w:rsidR="00020B0F" w:rsidRPr="00050790" w:rsidRDefault="00020B0F" w:rsidP="0007213D">
      <w:pPr>
        <w:rPr>
          <w:rFonts w:asciiTheme="minorHAnsi" w:eastAsia="Calibri" w:hAnsiTheme="minorHAnsi" w:cstheme="minorHAnsi"/>
          <w:sz w:val="20"/>
          <w:szCs w:val="20"/>
        </w:rPr>
      </w:pPr>
      <w:r w:rsidRPr="00050790">
        <w:rPr>
          <w:rStyle w:val="FootnoteReference"/>
          <w:rFonts w:asciiTheme="minorHAnsi" w:hAnsiTheme="minorHAnsi" w:cstheme="minorHAnsi"/>
          <w:sz w:val="20"/>
          <w:szCs w:val="20"/>
        </w:rPr>
        <w:footnoteRef/>
      </w:r>
      <w:r w:rsidRPr="00050790">
        <w:rPr>
          <w:rFonts w:asciiTheme="minorHAnsi" w:hAnsiTheme="minorHAnsi" w:cstheme="minorHAnsi"/>
          <w:sz w:val="20"/>
          <w:szCs w:val="20"/>
        </w:rPr>
        <w:t xml:space="preserve"> </w:t>
      </w:r>
      <w:r w:rsidRPr="00050790">
        <w:rPr>
          <w:rFonts w:asciiTheme="minorHAnsi" w:eastAsia="Calibri" w:hAnsiTheme="minorHAnsi" w:cstheme="minorHAnsi"/>
          <w:i/>
          <w:sz w:val="20"/>
          <w:szCs w:val="20"/>
        </w:rPr>
        <w:t>Associated Provincial Picture Houses Ltd v Wednesbury Corporation</w:t>
      </w:r>
      <w:r w:rsidRPr="00050790">
        <w:rPr>
          <w:rFonts w:asciiTheme="minorHAnsi" w:eastAsia="Calibri" w:hAnsiTheme="minorHAnsi" w:cstheme="minorHAnsi"/>
          <w:sz w:val="20"/>
          <w:szCs w:val="20"/>
        </w:rPr>
        <w:t xml:space="preserve"> [1947] EWCA Civ 1, para 3.</w:t>
      </w:r>
    </w:p>
  </w:footnote>
  <w:footnote w:id="74">
    <w:p w14:paraId="6FB71052" w14:textId="36116796"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shd w:val="clear" w:color="auto" w:fill="FFFFFF"/>
        </w:rPr>
        <w:t>Rule 54.15 of the Civil Procedure Rules.</w:t>
      </w:r>
    </w:p>
  </w:footnote>
  <w:footnote w:id="75">
    <w:p w14:paraId="6D75C89D" w14:textId="77777777" w:rsidR="00020B0F" w:rsidRPr="00050790" w:rsidRDefault="00020B0F" w:rsidP="00001706">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These principles are set out in </w:t>
      </w:r>
      <w:r w:rsidRPr="00050790">
        <w:rPr>
          <w:rFonts w:asciiTheme="minorHAnsi" w:eastAsia="Calibri" w:hAnsiTheme="minorHAnsi" w:cstheme="minorHAnsi"/>
          <w:i/>
          <w:sz w:val="20"/>
          <w:szCs w:val="20"/>
        </w:rPr>
        <w:t>Associated Provincial Picture Houses Ltd v Wednesbury Corporation</w:t>
      </w:r>
      <w:r w:rsidRPr="00050790">
        <w:rPr>
          <w:rFonts w:asciiTheme="minorHAnsi" w:eastAsia="Calibri" w:hAnsiTheme="minorHAnsi" w:cstheme="minorHAnsi"/>
          <w:sz w:val="20"/>
          <w:szCs w:val="20"/>
        </w:rPr>
        <w:t xml:space="preserve"> [1947] EWCA Civ 1.</w:t>
      </w:r>
    </w:p>
  </w:footnote>
  <w:footnote w:id="76">
    <w:p w14:paraId="5DD44CC8" w14:textId="77777777" w:rsidR="00020B0F" w:rsidRPr="00050790" w:rsidRDefault="00020B0F" w:rsidP="0064788D">
      <w:pPr>
        <w:pStyle w:val="FootnoteText"/>
        <w:rPr>
          <w:rFonts w:asciiTheme="minorHAnsi" w:hAnsiTheme="minorHAnsi" w:cstheme="minorHAnsi"/>
          <w:lang w:val="de-DE"/>
        </w:rPr>
      </w:pPr>
      <w:r w:rsidRPr="00050790">
        <w:rPr>
          <w:rStyle w:val="FootnoteReference"/>
          <w:rFonts w:asciiTheme="minorHAnsi" w:hAnsiTheme="minorHAnsi" w:cstheme="minorHAnsi"/>
        </w:rPr>
        <w:footnoteRef/>
      </w:r>
      <w:r w:rsidRPr="00050790">
        <w:rPr>
          <w:rFonts w:asciiTheme="minorHAnsi" w:hAnsiTheme="minorHAnsi" w:cstheme="minorHAnsi"/>
          <w:lang w:val="de-DE"/>
        </w:rPr>
        <w:t xml:space="preserve"> </w:t>
      </w:r>
      <w:r w:rsidRPr="00050790">
        <w:rPr>
          <w:rFonts w:asciiTheme="minorHAnsi" w:eastAsia="Calibri" w:hAnsiTheme="minorHAnsi" w:cstheme="minorHAnsi"/>
          <w:i/>
          <w:lang w:val="de-DE"/>
        </w:rPr>
        <w:t>Bundesambt für Fremdenwesen und Asyl</w:t>
      </w:r>
      <w:r w:rsidRPr="00050790">
        <w:rPr>
          <w:rFonts w:asciiTheme="minorHAnsi" w:eastAsia="Calibri" w:hAnsiTheme="minorHAnsi" w:cstheme="minorHAnsi"/>
          <w:lang w:val="de-DE"/>
        </w:rPr>
        <w:t>.</w:t>
      </w:r>
    </w:p>
  </w:footnote>
  <w:footnote w:id="77">
    <w:p w14:paraId="5B7C79E2" w14:textId="77777777" w:rsidR="00020B0F" w:rsidRPr="00050790" w:rsidRDefault="00020B0F" w:rsidP="009575BB">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The usual maximum period of detention is six months. If you apply for international protection while in detention, the detention may last up to ten months, in order to secure this procedure. If the alien has taken measures to prevent their deportation (for example non-cooperation, identity documents) the detention may last up to 18 months.</w:t>
      </w:r>
    </w:p>
  </w:footnote>
  <w:footnote w:id="78">
    <w:p w14:paraId="60C33AF3" w14:textId="78DCDF1B"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See for the conditions of detention para 76 Fremdenpolizeigesetz 2005 (FPG).</w:t>
      </w:r>
    </w:p>
  </w:footnote>
  <w:footnote w:id="79">
    <w:p w14:paraId="43D8853A" w14:textId="71C885DE"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See the translation of the BFA Procedures Act </w:t>
      </w:r>
      <w:r w:rsidRPr="00050790">
        <w:rPr>
          <w:rFonts w:asciiTheme="minorHAnsi" w:eastAsia="Calibri" w:hAnsiTheme="minorHAnsi" w:cstheme="minorHAnsi"/>
        </w:rPr>
        <w:t>(</w:t>
      </w:r>
      <w:r w:rsidRPr="00050790">
        <w:rPr>
          <w:rFonts w:asciiTheme="minorHAnsi" w:eastAsia="Calibri" w:hAnsiTheme="minorHAnsi" w:cstheme="minorHAnsi"/>
          <w:i/>
        </w:rPr>
        <w:t>BFA - Verfahrensgesetz</w:t>
      </w:r>
      <w:r w:rsidRPr="00050790">
        <w:rPr>
          <w:rFonts w:asciiTheme="minorHAnsi" w:eastAsia="Calibri" w:hAnsiTheme="minorHAnsi" w:cstheme="minorHAnsi"/>
        </w:rPr>
        <w:t xml:space="preserve">) </w:t>
      </w:r>
      <w:r w:rsidRPr="00050790">
        <w:rPr>
          <w:rFonts w:asciiTheme="minorHAnsi" w:hAnsiTheme="minorHAnsi" w:cstheme="minorHAnsi"/>
        </w:rPr>
        <w:t>available at &lt;www.refworld.org/docid/5c863e697.html&gt; accessed 15 March 2021</w:t>
      </w:r>
      <w:r w:rsidRPr="00050790">
        <w:rPr>
          <w:rFonts w:asciiTheme="minorHAnsi" w:hAnsiTheme="minorHAnsi" w:cstheme="minorHAnsi"/>
          <w:shd w:val="clear" w:color="auto" w:fill="F9F9F9"/>
        </w:rPr>
        <w:t>.</w:t>
      </w:r>
    </w:p>
  </w:footnote>
  <w:footnote w:id="80">
    <w:p w14:paraId="436E98EE" w14:textId="7D6F643D" w:rsidR="00020B0F" w:rsidRPr="00050790" w:rsidRDefault="00020B0F">
      <w:pPr>
        <w:pStyle w:val="FootnoteText"/>
        <w:rPr>
          <w:rFonts w:asciiTheme="minorHAnsi" w:hAnsiTheme="minorHAnsi" w:cstheme="minorHAnsi"/>
          <w:lang w:val="de-DE"/>
        </w:rPr>
      </w:pPr>
      <w:r w:rsidRPr="00050790">
        <w:rPr>
          <w:rStyle w:val="FootnoteReference"/>
          <w:rFonts w:asciiTheme="minorHAnsi" w:hAnsiTheme="minorHAnsi" w:cstheme="minorHAnsi"/>
        </w:rPr>
        <w:footnoteRef/>
      </w:r>
      <w:r w:rsidRPr="00050790">
        <w:rPr>
          <w:rFonts w:asciiTheme="minorHAnsi" w:hAnsiTheme="minorHAnsi" w:cstheme="minorHAnsi"/>
          <w:lang w:val="de-DE"/>
        </w:rPr>
        <w:t xml:space="preserve"> </w:t>
      </w:r>
      <w:r w:rsidRPr="00050790">
        <w:rPr>
          <w:rFonts w:asciiTheme="minorHAnsi" w:hAnsiTheme="minorHAnsi" w:cstheme="minorHAnsi"/>
          <w:i/>
          <w:iCs/>
          <w:lang w:val="de-DE"/>
        </w:rPr>
        <w:t>Bundesverwaltingsgericht</w:t>
      </w:r>
      <w:r w:rsidRPr="00050790">
        <w:rPr>
          <w:rFonts w:asciiTheme="minorHAnsi" w:hAnsiTheme="minorHAnsi" w:cstheme="minorHAnsi"/>
          <w:lang w:val="de-DE"/>
        </w:rPr>
        <w:t>.</w:t>
      </w:r>
    </w:p>
  </w:footnote>
  <w:footnote w:id="81">
    <w:p w14:paraId="515CB0C3" w14:textId="6957D2F3" w:rsidR="00020B0F" w:rsidRPr="00050790" w:rsidRDefault="00020B0F" w:rsidP="009575BB">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de-DE"/>
        </w:rPr>
        <w:t xml:space="preserve">Art 22a BFA Procedures Act. </w:t>
      </w:r>
    </w:p>
  </w:footnote>
  <w:footnote w:id="82">
    <w:p w14:paraId="49ADFD9B" w14:textId="77777777" w:rsidR="00020B0F" w:rsidRPr="00050790" w:rsidRDefault="00020B0F" w:rsidP="00061C35">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Art 22a(3) BFA Procedures Act.</w:t>
      </w:r>
    </w:p>
  </w:footnote>
  <w:footnote w:id="83">
    <w:p w14:paraId="2B388A23" w14:textId="647571F1" w:rsidR="00020B0F" w:rsidRPr="00050790" w:rsidRDefault="00020B0F" w:rsidP="00061C35">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Art 22a(4) BFA Procedures Act.</w:t>
      </w:r>
    </w:p>
  </w:footnote>
  <w:footnote w:id="84">
    <w:p w14:paraId="40DF58B7" w14:textId="095F9733" w:rsidR="00020B0F" w:rsidRPr="00050790" w:rsidRDefault="00020B0F" w:rsidP="00E72821">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Art 22a(4) BFA Procedures Act.</w:t>
      </w:r>
    </w:p>
  </w:footnote>
  <w:footnote w:id="85">
    <w:p w14:paraId="2BB7AD7A" w14:textId="74EC3B8F"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Interview conducted with Jana Zunker (MA, Legal advisor at Diakonie Flüchtlingsdienst gem. GmbH) and Ruxandra Staicu, (BA, Representative of Deserteurs- und Flüchtlingsberatung), Friday 12 March 2021.</w:t>
      </w:r>
    </w:p>
  </w:footnote>
  <w:footnote w:id="86">
    <w:p w14:paraId="6E8236EA" w14:textId="49761C84" w:rsidR="00020B0F" w:rsidRPr="00050790" w:rsidRDefault="00020B0F">
      <w:pPr>
        <w:pStyle w:val="FootnoteText"/>
        <w:rPr>
          <w:rFonts w:asciiTheme="minorHAnsi" w:hAnsiTheme="minorHAnsi" w:cstheme="minorHAnsi"/>
          <w:lang w:val="de-DE"/>
        </w:rPr>
      </w:pPr>
      <w:r w:rsidRPr="00050790">
        <w:rPr>
          <w:rStyle w:val="FootnoteReference"/>
          <w:rFonts w:asciiTheme="minorHAnsi" w:hAnsiTheme="minorHAnsi" w:cstheme="minorHAnsi"/>
        </w:rPr>
        <w:footnoteRef/>
      </w:r>
      <w:r w:rsidRPr="00050790">
        <w:rPr>
          <w:rFonts w:asciiTheme="minorHAnsi" w:hAnsiTheme="minorHAnsi" w:cstheme="minorHAnsi"/>
          <w:lang w:val="de-DE"/>
        </w:rPr>
        <w:t xml:space="preserve"> This follows from Paragraph</w:t>
      </w:r>
      <w:r w:rsidRPr="00050790">
        <w:rPr>
          <w:rFonts w:asciiTheme="minorHAnsi" w:hAnsiTheme="minorHAnsi" w:cstheme="minorHAnsi"/>
          <w:color w:val="222222"/>
          <w:lang w:val="de-DE"/>
        </w:rPr>
        <w:t xml:space="preserve"> 37 ff. Allgemeines Verwaltungsverfahrensgezets (AVG) combined with Paragraph 17 Verwaltungsgerichtsverfahrensgesetz (VwGVG).</w:t>
      </w:r>
    </w:p>
  </w:footnote>
  <w:footnote w:id="87">
    <w:p w14:paraId="1BC0B7A7" w14:textId="6B084AAB"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Interview with Jana Zunker and Ruxandra Staicu, referring to Arts 37 ff AVG combined with Paragraph 17 VwGVG.</w:t>
      </w:r>
    </w:p>
  </w:footnote>
  <w:footnote w:id="88">
    <w:p w14:paraId="073A05B5" w14:textId="32757084"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Interview with Jana Zunker and Ruxandra Staicu.</w:t>
      </w:r>
    </w:p>
  </w:footnote>
  <w:footnote w:id="89">
    <w:p w14:paraId="44DD4B43" w14:textId="0FE3C366" w:rsidR="00020B0F" w:rsidRPr="00050790" w:rsidRDefault="00020B0F" w:rsidP="000E29B1">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See the translation of Art 22a(4) BFA Procedures Act available at &lt;www.refworld.org/docid/5c863e697.html&gt; accessed 15 March 2021</w:t>
      </w:r>
      <w:r w:rsidRPr="00050790">
        <w:rPr>
          <w:rFonts w:asciiTheme="minorHAnsi" w:hAnsiTheme="minorHAnsi" w:cstheme="minorHAnsi"/>
          <w:shd w:val="clear" w:color="auto" w:fill="F9F9F9"/>
        </w:rPr>
        <w:t>.</w:t>
      </w:r>
    </w:p>
  </w:footnote>
  <w:footnote w:id="90">
    <w:p w14:paraId="789D29D8" w14:textId="160F3962" w:rsidR="00020B0F" w:rsidRPr="00050790" w:rsidRDefault="00020B0F" w:rsidP="000E29B1">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Ibid</w:t>
      </w:r>
      <w:r w:rsidRPr="00050790">
        <w:rPr>
          <w:rFonts w:asciiTheme="minorHAnsi" w:hAnsiTheme="minorHAnsi" w:cstheme="minorHAnsi"/>
          <w:shd w:val="clear" w:color="auto" w:fill="F9F9F9"/>
        </w:rPr>
        <w:t>.</w:t>
      </w:r>
    </w:p>
  </w:footnote>
  <w:footnote w:id="91">
    <w:p w14:paraId="405B41E0" w14:textId="77777777" w:rsidR="00020B0F" w:rsidRPr="00050790" w:rsidRDefault="00020B0F" w:rsidP="000E29B1">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lang w:val="en-US"/>
        </w:rPr>
        <w:t xml:space="preserve">Art 22a(4) </w:t>
      </w:r>
      <w:r w:rsidRPr="00050790">
        <w:rPr>
          <w:rFonts w:asciiTheme="minorHAnsi" w:hAnsiTheme="minorHAnsi" w:cstheme="minorHAnsi"/>
        </w:rPr>
        <w:t>BFA Procedures Act.</w:t>
      </w:r>
    </w:p>
  </w:footnote>
  <w:footnote w:id="92">
    <w:p w14:paraId="118B12D3" w14:textId="10B83819" w:rsidR="00020B0F" w:rsidRPr="00D15D8E"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D15D8E">
        <w:rPr>
          <w:rFonts w:asciiTheme="minorHAnsi" w:hAnsiTheme="minorHAnsi" w:cstheme="minorHAnsi"/>
        </w:rPr>
        <w:t xml:space="preserve"> Art 76 FPG.</w:t>
      </w:r>
    </w:p>
  </w:footnote>
  <w:footnote w:id="93">
    <w:p w14:paraId="0BBEA1F0" w14:textId="45464CA0"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color w:val="222222"/>
          <w:shd w:val="clear" w:color="auto" w:fill="FFFFFF"/>
        </w:rPr>
        <w:t>VwGH 27 August 2020, Ro 2020/21/001. See also VwGH 12 January 2021, Ra 2020/21/0378.</w:t>
      </w:r>
    </w:p>
  </w:footnote>
  <w:footnote w:id="94">
    <w:p w14:paraId="66700008" w14:textId="670BA859"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Interview with Jana Zunker and Ruxandra Staicu.</w:t>
      </w:r>
    </w:p>
  </w:footnote>
  <w:footnote w:id="95">
    <w:p w14:paraId="7C6E87E1" w14:textId="4EF67B2C" w:rsidR="00020B0F" w:rsidRPr="00050790" w:rsidRDefault="00020B0F" w:rsidP="004509B5">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de-DE"/>
        </w:rPr>
        <w:t xml:space="preserve"> F.W. Dollinger 'Geordnete-Rückkehr-Gesetz' </w:t>
      </w:r>
      <w:r w:rsidRPr="00050790">
        <w:rPr>
          <w:rFonts w:asciiTheme="minorHAnsi" w:eastAsia="Calibri" w:hAnsiTheme="minorHAnsi" w:cstheme="minorHAnsi"/>
          <w:i/>
          <w:iCs/>
          <w:sz w:val="20"/>
          <w:szCs w:val="20"/>
          <w:lang w:val="de-DE"/>
        </w:rPr>
        <w:t>Zeitschrift für Rechtspolitik</w:t>
      </w:r>
      <w:r w:rsidRPr="00050790">
        <w:rPr>
          <w:rFonts w:asciiTheme="minorHAnsi" w:eastAsia="Calibri" w:hAnsiTheme="minorHAnsi" w:cstheme="minorHAnsi"/>
          <w:sz w:val="20"/>
          <w:szCs w:val="20"/>
          <w:lang w:val="de-DE"/>
        </w:rPr>
        <w:t xml:space="preserve"> (2019), para 133.</w:t>
      </w:r>
    </w:p>
  </w:footnote>
  <w:footnote w:id="96">
    <w:p w14:paraId="375FBF7F" w14:textId="753F7F0E" w:rsidR="00020B0F" w:rsidRPr="00D15D8E" w:rsidRDefault="00020B0F" w:rsidP="004509B5">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Ibid Art 104(2) GG: ‘Only the judge shall decide on the admissibility and duration of a deprivation of liberty. In the case of any deprivation of liberty not based on a judicial order, a judicial decision must be obtained without delay. The police may not, on their own authority, keep anyone in their own custody longer than until the end of the day following the seizure. </w:t>
      </w:r>
      <w:r w:rsidRPr="00D15D8E">
        <w:rPr>
          <w:rFonts w:asciiTheme="minorHAnsi" w:eastAsia="Calibri" w:hAnsiTheme="minorHAnsi" w:cstheme="minorHAnsi"/>
          <w:sz w:val="20"/>
          <w:szCs w:val="20"/>
          <w:lang w:val="de-DE"/>
        </w:rPr>
        <w:t>Further details shall be regulated by law'.</w:t>
      </w:r>
    </w:p>
  </w:footnote>
  <w:footnote w:id="97">
    <w:p w14:paraId="7593A8DC" w14:textId="43E25259" w:rsidR="00020B0F" w:rsidRPr="00050790" w:rsidRDefault="00020B0F">
      <w:pPr>
        <w:pStyle w:val="FootnoteText"/>
        <w:rPr>
          <w:rFonts w:asciiTheme="minorHAnsi" w:hAnsiTheme="minorHAnsi" w:cstheme="minorHAnsi"/>
          <w:lang w:val="de-DE"/>
        </w:rPr>
      </w:pPr>
      <w:r w:rsidRPr="00050790">
        <w:rPr>
          <w:rStyle w:val="FootnoteReference"/>
          <w:rFonts w:asciiTheme="minorHAnsi" w:hAnsiTheme="minorHAnsi" w:cstheme="minorHAnsi"/>
        </w:rPr>
        <w:footnoteRef/>
      </w:r>
      <w:r w:rsidRPr="00050790">
        <w:rPr>
          <w:rFonts w:asciiTheme="minorHAnsi" w:hAnsiTheme="minorHAnsi" w:cstheme="minorHAnsi"/>
          <w:lang w:val="de-DE"/>
        </w:rPr>
        <w:t xml:space="preserve"> </w:t>
      </w:r>
      <w:r w:rsidRPr="00050790">
        <w:rPr>
          <w:rFonts w:asciiTheme="minorHAnsi" w:hAnsiTheme="minorHAnsi" w:cstheme="minorHAnsi"/>
          <w:color w:val="202124"/>
          <w:shd w:val="clear" w:color="auto" w:fill="FFFFFF"/>
          <w:lang w:val="de-DE"/>
        </w:rPr>
        <w:t>Gesetz über das Verfahren in Familiensachen und in den Angelegenheiten der freiwilligen Gerichtsbarkeit (FamFG).</w:t>
      </w:r>
    </w:p>
  </w:footnote>
  <w:footnote w:id="98">
    <w:p w14:paraId="591B61FF" w14:textId="2439ECEA" w:rsidR="00020B0F" w:rsidRPr="00050790" w:rsidRDefault="00020B0F" w:rsidP="004509B5">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Ibid para 58 seq FamFG in conjunction with para 415 FamFG: ‘[...] a person is deprived of her liberty when she is held in a closed facility against her will or under circumstances of a lack of will.’ </w:t>
      </w:r>
      <w:r w:rsidRPr="00050790">
        <w:rPr>
          <w:rFonts w:asciiTheme="minorHAnsi" w:eastAsia="Calibri" w:hAnsiTheme="minorHAnsi" w:cstheme="minorHAnsi"/>
          <w:sz w:val="20"/>
          <w:szCs w:val="20"/>
          <w:lang w:val="de-DE"/>
        </w:rPr>
        <w:t xml:space="preserve">See also: H. Dörig, ‘Nicolai Kaniess, Abschiebungshaft‘, </w:t>
      </w:r>
      <w:r w:rsidRPr="00050790">
        <w:rPr>
          <w:rFonts w:asciiTheme="minorHAnsi" w:eastAsia="Calibri" w:hAnsiTheme="minorHAnsi" w:cstheme="minorHAnsi"/>
          <w:i/>
          <w:iCs/>
          <w:sz w:val="20"/>
          <w:szCs w:val="20"/>
          <w:lang w:val="de-DE"/>
        </w:rPr>
        <w:t xml:space="preserve">Thüringer Verwaltungsblatt </w:t>
      </w:r>
      <w:r w:rsidRPr="00050790">
        <w:rPr>
          <w:rFonts w:asciiTheme="minorHAnsi" w:eastAsia="Calibri" w:hAnsiTheme="minorHAnsi" w:cstheme="minorHAnsi"/>
          <w:sz w:val="20"/>
          <w:szCs w:val="20"/>
          <w:lang w:val="de-DE"/>
        </w:rPr>
        <w:t>(2021).</w:t>
      </w:r>
    </w:p>
  </w:footnote>
  <w:footnote w:id="99">
    <w:p w14:paraId="0A8B52E0" w14:textId="48FB40A4" w:rsidR="00020B0F" w:rsidRPr="00050790" w:rsidRDefault="00020B0F" w:rsidP="004509B5">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de-DE"/>
        </w:rPr>
        <w:t xml:space="preserve"> W. Kluth, in: W. Kluth and A. Heusch, Aufenthaltzgesetz, para 62, AufenthG (2018), para 26.</w:t>
      </w:r>
    </w:p>
  </w:footnote>
  <w:footnote w:id="100">
    <w:p w14:paraId="1DF709AF" w14:textId="1D9790C5" w:rsidR="00020B0F" w:rsidRPr="00050790" w:rsidRDefault="00020B0F" w:rsidP="004509B5">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J. Bornemann and H. Dörig ‘The Civil Judge as Administrator of Return Detention: The Case of Germany’, in: G. Cornelisse et al., </w:t>
      </w:r>
      <w:r w:rsidRPr="00050790">
        <w:rPr>
          <w:rFonts w:asciiTheme="minorHAnsi" w:eastAsia="Calibri" w:hAnsiTheme="minorHAnsi" w:cstheme="minorHAnsi"/>
          <w:i/>
          <w:iCs/>
          <w:sz w:val="20"/>
          <w:szCs w:val="20"/>
        </w:rPr>
        <w:t xml:space="preserve">Law and Judicial Dialogue on the Return of Irregular Migrants from the European Union </w:t>
      </w:r>
      <w:r w:rsidRPr="00050790">
        <w:rPr>
          <w:rFonts w:asciiTheme="minorHAnsi" w:eastAsia="Calibri" w:hAnsiTheme="minorHAnsi" w:cstheme="minorHAnsi"/>
          <w:sz w:val="20"/>
          <w:szCs w:val="20"/>
        </w:rPr>
        <w:t>(2020) p 232.</w:t>
      </w:r>
    </w:p>
  </w:footnote>
  <w:footnote w:id="101">
    <w:p w14:paraId="293B3BCB" w14:textId="4C3078A8" w:rsidR="00020B0F" w:rsidRPr="00050790" w:rsidRDefault="00020B0F" w:rsidP="004509B5">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Bundesverfassungsgericht 4 October 2010, 2 BvR 1825/08.</w:t>
      </w:r>
    </w:p>
  </w:footnote>
  <w:footnote w:id="102">
    <w:p w14:paraId="60719D95" w14:textId="2C78496C" w:rsidR="00020B0F" w:rsidRPr="00050790" w:rsidRDefault="00020B0F" w:rsidP="004509B5">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Para</w:t>
      </w:r>
      <w:r w:rsidRPr="00050790">
        <w:rPr>
          <w:rFonts w:asciiTheme="minorHAnsi" w:hAnsiTheme="minorHAnsi" w:cstheme="minorHAnsi"/>
          <w:lang w:val="en-US"/>
        </w:rPr>
        <w:t xml:space="preserve"> 26 </w:t>
      </w:r>
      <w:r w:rsidRPr="00050790">
        <w:rPr>
          <w:rFonts w:asciiTheme="minorHAnsi" w:eastAsia="Calibri" w:hAnsiTheme="minorHAnsi" w:cstheme="minorHAnsi"/>
          <w:lang w:val="en-US"/>
        </w:rPr>
        <w:t>FamFG</w:t>
      </w:r>
      <w:r w:rsidRPr="00050790">
        <w:rPr>
          <w:rFonts w:asciiTheme="minorHAnsi" w:hAnsiTheme="minorHAnsi" w:cstheme="minorHAnsi"/>
          <w:lang w:val="en-US"/>
        </w:rPr>
        <w:t xml:space="preserve"> provides that ‘The court shall conduct necessary inquiries ex officio to establish facts that are relevant to the decision’</w:t>
      </w:r>
      <w:r w:rsidRPr="00050790">
        <w:rPr>
          <w:rFonts w:asciiTheme="minorHAnsi" w:hAnsiTheme="minorHAnsi" w:cstheme="minorHAnsi"/>
          <w:shd w:val="clear" w:color="auto" w:fill="EEF1F6"/>
        </w:rPr>
        <w:t>.</w:t>
      </w:r>
    </w:p>
  </w:footnote>
  <w:footnote w:id="103">
    <w:p w14:paraId="01B737DF" w14:textId="2225A22C" w:rsidR="00020B0F" w:rsidRPr="00050790" w:rsidRDefault="00020B0F" w:rsidP="004509B5">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de-DE"/>
        </w:rPr>
        <w:t xml:space="preserve"> V. Epping and C. Hillgruber, </w:t>
      </w:r>
      <w:r w:rsidRPr="00050790">
        <w:rPr>
          <w:rFonts w:asciiTheme="minorHAnsi" w:eastAsia="Calibri" w:hAnsiTheme="minorHAnsi" w:cstheme="minorHAnsi"/>
          <w:i/>
          <w:iCs/>
          <w:sz w:val="20"/>
          <w:szCs w:val="20"/>
          <w:lang w:val="de-DE"/>
        </w:rPr>
        <w:t>Beck Online Kommentar zum Grundgesetz</w:t>
      </w:r>
      <w:r w:rsidRPr="00050790">
        <w:rPr>
          <w:rFonts w:asciiTheme="minorHAnsi" w:eastAsia="Calibri" w:hAnsiTheme="minorHAnsi" w:cstheme="minorHAnsi"/>
          <w:sz w:val="20"/>
          <w:szCs w:val="20"/>
          <w:lang w:val="de-DE"/>
        </w:rPr>
        <w:t xml:space="preserve"> </w:t>
      </w:r>
      <w:r w:rsidRPr="00050790">
        <w:rPr>
          <w:rFonts w:asciiTheme="minorHAnsi" w:eastAsia="Calibri" w:hAnsiTheme="minorHAnsi" w:cstheme="minorHAnsi"/>
          <w:color w:val="000000" w:themeColor="text1"/>
          <w:sz w:val="20"/>
          <w:szCs w:val="20"/>
          <w:lang w:val="de-DE"/>
        </w:rPr>
        <w:t>(Munich, C.H.Beck, 2020), Art 104 GG para 12</w:t>
      </w:r>
      <w:r w:rsidRPr="00050790">
        <w:rPr>
          <w:rFonts w:asciiTheme="minorHAnsi" w:eastAsia="Calibri" w:hAnsiTheme="minorHAnsi" w:cstheme="minorHAnsi"/>
          <w:sz w:val="20"/>
          <w:szCs w:val="20"/>
          <w:lang w:val="de-DE"/>
        </w:rPr>
        <w:t>.</w:t>
      </w:r>
    </w:p>
  </w:footnote>
  <w:footnote w:id="104">
    <w:p w14:paraId="6CE71836" w14:textId="6F99EAA0" w:rsidR="00020B0F" w:rsidRPr="00050790" w:rsidRDefault="00020B0F" w:rsidP="004509B5">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de-DE"/>
        </w:rPr>
        <w:t xml:space="preserve"> Bundesverfassungsgericht 30 October 1990, 2 BvR 562/88; </w:t>
      </w:r>
      <w:r w:rsidRPr="00050790">
        <w:rPr>
          <w:rFonts w:asciiTheme="minorHAnsi" w:eastAsia="Calibri" w:hAnsiTheme="minorHAnsi" w:cstheme="minorHAnsi"/>
          <w:color w:val="000000" w:themeColor="text1"/>
          <w:sz w:val="20"/>
          <w:szCs w:val="20"/>
          <w:lang w:val="de-DE"/>
        </w:rPr>
        <w:t xml:space="preserve">H Dreier, ‘GG Kommentar‘ (Tübingen, Mohr Siebeck, 2015), Art 104 GG, </w:t>
      </w:r>
      <w:proofErr w:type="spellStart"/>
      <w:r w:rsidRPr="00050790">
        <w:rPr>
          <w:rFonts w:asciiTheme="minorHAnsi" w:eastAsia="Calibri" w:hAnsiTheme="minorHAnsi" w:cstheme="minorHAnsi"/>
          <w:color w:val="000000" w:themeColor="text1"/>
          <w:sz w:val="20"/>
          <w:szCs w:val="20"/>
          <w:lang w:val="de-DE"/>
        </w:rPr>
        <w:t>para</w:t>
      </w:r>
      <w:proofErr w:type="spellEnd"/>
      <w:r w:rsidRPr="00050790">
        <w:rPr>
          <w:rFonts w:asciiTheme="minorHAnsi" w:eastAsia="Calibri" w:hAnsiTheme="minorHAnsi" w:cstheme="minorHAnsi"/>
          <w:color w:val="000000" w:themeColor="text1"/>
          <w:sz w:val="20"/>
          <w:szCs w:val="20"/>
          <w:lang w:val="de-DE"/>
        </w:rPr>
        <w:t xml:space="preserve"> </w:t>
      </w:r>
      <w:hyperlink r:id="rId1">
        <w:r w:rsidRPr="00050790">
          <w:rPr>
            <w:rFonts w:asciiTheme="minorHAnsi" w:eastAsia="Calibri" w:hAnsiTheme="minorHAnsi" w:cstheme="minorHAnsi"/>
            <w:color w:val="000000" w:themeColor="text1"/>
            <w:sz w:val="20"/>
            <w:szCs w:val="20"/>
            <w:lang w:val="de-DE"/>
          </w:rPr>
          <w:t>36</w:t>
        </w:r>
      </w:hyperlink>
      <w:r w:rsidRPr="00050790">
        <w:rPr>
          <w:rFonts w:asciiTheme="minorHAnsi" w:eastAsia="Calibri" w:hAnsiTheme="minorHAnsi" w:cstheme="minorHAnsi"/>
          <w:sz w:val="20"/>
          <w:szCs w:val="20"/>
          <w:lang w:val="de-DE"/>
        </w:rPr>
        <w:t xml:space="preserve">. </w:t>
      </w:r>
    </w:p>
  </w:footnote>
  <w:footnote w:id="105">
    <w:p w14:paraId="7898C448" w14:textId="0B7792B4" w:rsidR="00020B0F" w:rsidRPr="00050790" w:rsidRDefault="00020B0F" w:rsidP="004509B5">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lang w:val="en-US"/>
        </w:rPr>
        <w:t xml:space="preserve"> Interview with Dr. Nicolai Kaniess, </w:t>
      </w:r>
      <w:r w:rsidRPr="00050790">
        <w:rPr>
          <w:rFonts w:asciiTheme="minorHAnsi" w:hAnsiTheme="minorHAnsi" w:cstheme="minorHAnsi"/>
          <w:shd w:val="clear" w:color="auto" w:fill="FFFFFF"/>
        </w:rPr>
        <w:t xml:space="preserve">Civil Judge at the </w:t>
      </w:r>
      <w:r w:rsidRPr="00050790">
        <w:rPr>
          <w:rFonts w:asciiTheme="minorHAnsi" w:hAnsiTheme="minorHAnsi" w:cstheme="minorHAnsi"/>
          <w:i/>
          <w:iCs/>
          <w:shd w:val="clear" w:color="auto" w:fill="FFFFFF"/>
        </w:rPr>
        <w:t>Amtsgericht Tiergarten</w:t>
      </w:r>
      <w:r w:rsidRPr="00050790">
        <w:rPr>
          <w:rFonts w:asciiTheme="minorHAnsi" w:hAnsiTheme="minorHAnsi" w:cstheme="minorHAnsi"/>
          <w:lang w:val="en-US"/>
        </w:rPr>
        <w:t xml:space="preserve"> on the judicial review by a German Civil judge in detention cases on 10 March 2021.</w:t>
      </w:r>
    </w:p>
  </w:footnote>
  <w:footnote w:id="106">
    <w:p w14:paraId="17AEE7E2" w14:textId="393966F0" w:rsidR="00020B0F" w:rsidRPr="00050790" w:rsidRDefault="00020B0F" w:rsidP="004509B5">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lang w:val="de-DE"/>
        </w:rPr>
        <w:t xml:space="preserve"> Bundesverfassungsgericht 5 May 2008, </w:t>
      </w:r>
      <w:hyperlink r:id="rId2">
        <w:r w:rsidRPr="00050790">
          <w:rPr>
            <w:rFonts w:asciiTheme="minorHAnsi" w:eastAsia="Calibri" w:hAnsiTheme="minorHAnsi" w:cstheme="minorHAnsi"/>
            <w:sz w:val="20"/>
            <w:szCs w:val="20"/>
            <w:lang w:val="de-DE"/>
          </w:rPr>
          <w:t>2 BvR 1615/07</w:t>
        </w:r>
      </w:hyperlink>
      <w:r w:rsidRPr="00050790">
        <w:rPr>
          <w:rFonts w:asciiTheme="minorHAnsi" w:eastAsia="Calibri" w:hAnsiTheme="minorHAnsi" w:cstheme="minorHAnsi"/>
          <w:sz w:val="20"/>
          <w:szCs w:val="20"/>
          <w:lang w:val="de-DE"/>
        </w:rPr>
        <w:t>, 2008; Sachs/</w:t>
      </w:r>
      <w:r w:rsidRPr="00050790">
        <w:rPr>
          <w:rFonts w:asciiTheme="minorHAnsi" w:eastAsia="Calibri" w:hAnsiTheme="minorHAnsi" w:cstheme="minorHAnsi"/>
          <w:i/>
          <w:sz w:val="20"/>
          <w:szCs w:val="20"/>
          <w:lang w:val="de-DE"/>
        </w:rPr>
        <w:t>Degenhart</w:t>
      </w:r>
      <w:r w:rsidRPr="00050790">
        <w:rPr>
          <w:rFonts w:asciiTheme="minorHAnsi" w:eastAsia="Calibri" w:hAnsiTheme="minorHAnsi" w:cstheme="minorHAnsi"/>
          <w:sz w:val="20"/>
          <w:szCs w:val="20"/>
          <w:lang w:val="de-DE"/>
        </w:rPr>
        <w:t>, GG Art 104 para 22.</w:t>
      </w:r>
    </w:p>
  </w:footnote>
  <w:footnote w:id="107">
    <w:p w14:paraId="2C0287F8" w14:textId="4C2D730B" w:rsidR="00020B0F" w:rsidRPr="00050790" w:rsidRDefault="00020B0F" w:rsidP="004509B5">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i/>
          <w:sz w:val="20"/>
          <w:szCs w:val="20"/>
        </w:rPr>
        <w:t xml:space="preserve"> </w:t>
      </w:r>
      <w:r w:rsidRPr="00050790">
        <w:rPr>
          <w:rFonts w:asciiTheme="minorHAnsi" w:eastAsia="Calibri" w:hAnsiTheme="minorHAnsi" w:cstheme="minorHAnsi"/>
          <w:sz w:val="20"/>
          <w:szCs w:val="20"/>
        </w:rPr>
        <w:t>Bundesgerichtshof4 March 2010, V ZB 184/09.</w:t>
      </w:r>
      <w:r w:rsidRPr="00050790">
        <w:rPr>
          <w:rFonts w:asciiTheme="minorHAnsi" w:eastAsia="Calibri" w:hAnsiTheme="minorHAnsi" w:cstheme="minorHAnsi"/>
          <w:i/>
          <w:sz w:val="20"/>
          <w:szCs w:val="20"/>
        </w:rPr>
        <w:t xml:space="preserve"> </w:t>
      </w:r>
    </w:p>
  </w:footnote>
  <w:footnote w:id="108">
    <w:p w14:paraId="7826F7C7" w14:textId="1918499D" w:rsidR="00020B0F" w:rsidRPr="00050790" w:rsidRDefault="00020B0F" w:rsidP="004509B5">
      <w:pPr>
        <w:rPr>
          <w:rFonts w:asciiTheme="minorHAnsi" w:eastAsia="Calibri" w:hAnsiTheme="minorHAnsi" w:cstheme="minorHAnsi"/>
          <w:sz w:val="20"/>
          <w:szCs w:val="20"/>
          <w:lang w:val="de-DE"/>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The proportionality test for judicial enquiries derives from national constitutional law (Art 20 (3) GG). </w:t>
      </w:r>
      <w:r w:rsidRPr="00050790">
        <w:rPr>
          <w:rFonts w:asciiTheme="minorHAnsi" w:eastAsia="Calibri" w:hAnsiTheme="minorHAnsi" w:cstheme="minorHAnsi"/>
          <w:sz w:val="20"/>
          <w:szCs w:val="20"/>
          <w:lang w:val="de-DE"/>
        </w:rPr>
        <w:t xml:space="preserve">See also: </w:t>
      </w:r>
      <w:r w:rsidRPr="00050790">
        <w:rPr>
          <w:rFonts w:asciiTheme="minorHAnsi" w:eastAsia="Calibri" w:hAnsiTheme="minorHAnsi" w:cstheme="minorHAnsi"/>
          <w:color w:val="000000" w:themeColor="text1"/>
          <w:sz w:val="20"/>
          <w:szCs w:val="20"/>
          <w:lang w:val="de-DE"/>
        </w:rPr>
        <w:t xml:space="preserve">M. Klatt and M. Meiste, ‘Der Grundsatz der Verhältnismäßigkeit: Ein Strukturelement des globalen Konstitutionalismus’ in: </w:t>
      </w:r>
      <w:r w:rsidRPr="00050790">
        <w:rPr>
          <w:rFonts w:asciiTheme="minorHAnsi" w:eastAsia="Calibri" w:hAnsiTheme="minorHAnsi" w:cstheme="minorHAnsi"/>
          <w:i/>
          <w:iCs/>
          <w:color w:val="000000" w:themeColor="text1"/>
          <w:sz w:val="20"/>
          <w:szCs w:val="20"/>
          <w:lang w:val="de-DE"/>
        </w:rPr>
        <w:t>Juristische Schulung</w:t>
      </w:r>
      <w:r w:rsidRPr="00050790">
        <w:rPr>
          <w:rFonts w:asciiTheme="minorHAnsi" w:eastAsia="Calibri" w:hAnsiTheme="minorHAnsi" w:cstheme="minorHAnsi"/>
          <w:color w:val="000000" w:themeColor="text1"/>
          <w:sz w:val="20"/>
          <w:szCs w:val="20"/>
          <w:lang w:val="de-DE"/>
        </w:rPr>
        <w:t xml:space="preserve"> (2014/03), p 193</w:t>
      </w:r>
      <w:r w:rsidRPr="00050790">
        <w:rPr>
          <w:rFonts w:asciiTheme="minorHAnsi" w:eastAsia="Calibri" w:hAnsiTheme="minorHAnsi" w:cstheme="minorHAnsi"/>
          <w:sz w:val="20"/>
          <w:szCs w:val="20"/>
          <w:lang w:val="de-DE"/>
        </w:rPr>
        <w:t xml:space="preserve">. </w:t>
      </w:r>
    </w:p>
  </w:footnote>
  <w:footnote w:id="109">
    <w:p w14:paraId="09FC8076" w14:textId="55252010" w:rsidR="00020B0F" w:rsidRPr="00050790" w:rsidRDefault="00020B0F" w:rsidP="004509B5">
      <w:pPr>
        <w:pStyle w:val="FootnoteText"/>
        <w:rPr>
          <w:rFonts w:asciiTheme="minorHAnsi" w:hAnsiTheme="minorHAnsi" w:cstheme="minorHAnsi"/>
          <w:lang w:val="de-DE"/>
        </w:rPr>
      </w:pPr>
      <w:r w:rsidRPr="00050790">
        <w:rPr>
          <w:rStyle w:val="FootnoteReference"/>
          <w:rFonts w:asciiTheme="minorHAnsi" w:hAnsiTheme="minorHAnsi" w:cstheme="minorHAnsi"/>
        </w:rPr>
        <w:footnoteRef/>
      </w:r>
      <w:r w:rsidRPr="00050790">
        <w:rPr>
          <w:rFonts w:asciiTheme="minorHAnsi" w:hAnsiTheme="minorHAnsi" w:cstheme="minorHAnsi"/>
          <w:lang w:val="de-DE"/>
        </w:rPr>
        <w:t xml:space="preserve"> </w:t>
      </w:r>
      <w:r w:rsidRPr="00050790">
        <w:rPr>
          <w:rFonts w:asciiTheme="minorHAnsi" w:hAnsiTheme="minorHAnsi" w:cstheme="minorHAnsi"/>
          <w:i/>
          <w:shd w:val="clear" w:color="auto" w:fill="FFFFFF"/>
          <w:lang w:val="de-DE"/>
        </w:rPr>
        <w:t xml:space="preserve">Gesetz über den Aufenthalt, die Erwerbstätigkeit und die Integration von Ausländern im Bundesgebiet </w:t>
      </w:r>
      <w:r w:rsidRPr="00050790">
        <w:rPr>
          <w:rFonts w:asciiTheme="minorHAnsi" w:hAnsiTheme="minorHAnsi" w:cstheme="minorHAnsi"/>
          <w:iCs/>
          <w:shd w:val="clear" w:color="auto" w:fill="FFFFFF"/>
          <w:lang w:val="de-DE"/>
        </w:rPr>
        <w:t>(</w:t>
      </w:r>
      <w:r w:rsidRPr="00050790">
        <w:rPr>
          <w:rFonts w:asciiTheme="minorHAnsi" w:eastAsia="Calibri" w:hAnsiTheme="minorHAnsi" w:cstheme="minorHAnsi"/>
          <w:lang w:val="de-DE"/>
        </w:rPr>
        <w:t>AufenthG)</w:t>
      </w:r>
      <w:r w:rsidRPr="00050790">
        <w:rPr>
          <w:rFonts w:asciiTheme="minorHAnsi" w:hAnsiTheme="minorHAnsi" w:cstheme="minorHAnsi"/>
          <w:shd w:val="clear" w:color="auto" w:fill="FFFFFF"/>
          <w:lang w:val="de-DE"/>
        </w:rPr>
        <w:t>.</w:t>
      </w:r>
    </w:p>
  </w:footnote>
  <w:footnote w:id="110">
    <w:p w14:paraId="36D8E963" w14:textId="1480FCFA" w:rsidR="00020B0F" w:rsidRPr="00050790" w:rsidRDefault="00020B0F" w:rsidP="004509B5">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Para 62 AufenthG. </w:t>
      </w:r>
    </w:p>
  </w:footnote>
  <w:footnote w:id="111">
    <w:p w14:paraId="3A7E4F7C" w14:textId="2E9E8406" w:rsidR="00020B0F" w:rsidRPr="00050790" w:rsidRDefault="00020B0F" w:rsidP="004509B5">
      <w:pPr>
        <w:rPr>
          <w:rFonts w:asciiTheme="minorHAnsi" w:eastAsia="Calibri" w:hAnsiTheme="minorHAnsi" w:cstheme="minorHAnsi"/>
          <w:sz w:val="20"/>
          <w:szCs w:val="20"/>
        </w:rPr>
      </w:pPr>
      <w:r w:rsidRPr="00050790">
        <w:rPr>
          <w:rFonts w:asciiTheme="minorHAnsi" w:hAnsiTheme="minorHAnsi" w:cstheme="minorHAnsi"/>
          <w:sz w:val="20"/>
          <w:szCs w:val="20"/>
          <w:vertAlign w:val="superscript"/>
        </w:rPr>
        <w:footnoteRef/>
      </w:r>
      <w:r w:rsidRPr="00050790">
        <w:rPr>
          <w:rFonts w:asciiTheme="minorHAnsi" w:eastAsia="Calibri" w:hAnsiTheme="minorHAnsi" w:cstheme="minorHAnsi"/>
          <w:sz w:val="20"/>
          <w:szCs w:val="20"/>
        </w:rPr>
        <w:t xml:space="preserve"> J. Bornemann and H. Dörig ‘The Civil Judge as Administrator of Return Detention’, p 228.</w:t>
      </w:r>
    </w:p>
  </w:footnote>
  <w:footnote w:id="112">
    <w:p w14:paraId="1ABC1DB1" w14:textId="04A54CA1" w:rsidR="00020B0F" w:rsidRPr="00050790" w:rsidRDefault="00020B0F" w:rsidP="004509B5">
      <w:pPr>
        <w:pStyle w:val="FootnoteText"/>
        <w:rPr>
          <w:rFonts w:asciiTheme="minorHAnsi" w:hAnsiTheme="minorHAnsi" w:cstheme="minorHAnsi"/>
          <w:lang w:val="en-US"/>
        </w:rPr>
      </w:pPr>
      <w:r w:rsidRPr="00050790">
        <w:rPr>
          <w:rStyle w:val="FootnoteReference"/>
          <w:rFonts w:asciiTheme="minorHAnsi" w:hAnsiTheme="minorHAnsi" w:cstheme="minorHAnsi"/>
        </w:rPr>
        <w:footnoteRef/>
      </w:r>
      <w:r w:rsidRPr="00050790">
        <w:rPr>
          <w:rFonts w:asciiTheme="minorHAnsi" w:hAnsiTheme="minorHAnsi" w:cstheme="minorHAnsi"/>
        </w:rPr>
        <w:t xml:space="preserve"> </w:t>
      </w:r>
      <w:r w:rsidRPr="00050790">
        <w:rPr>
          <w:rFonts w:asciiTheme="minorHAnsi" w:hAnsiTheme="minorHAnsi" w:cstheme="minorHAnsi"/>
          <w:lang w:val="en-US"/>
        </w:rPr>
        <w:t>Interview with Dr. Nicolai Kaniess on 10 March 2021.</w:t>
      </w:r>
    </w:p>
  </w:footnote>
  <w:footnote w:id="113">
    <w:p w14:paraId="52B92D8B" w14:textId="4A43A28B" w:rsidR="00020B0F" w:rsidRPr="00050790" w:rsidRDefault="00020B0F">
      <w:pPr>
        <w:pStyle w:val="FootnoteText"/>
        <w:rPr>
          <w:rFonts w:asciiTheme="minorHAnsi" w:hAnsiTheme="minorHAnsi" w:cstheme="minorHAnsi"/>
        </w:rPr>
      </w:pPr>
      <w:r w:rsidRPr="00050790">
        <w:rPr>
          <w:rStyle w:val="FootnoteReference"/>
          <w:rFonts w:asciiTheme="minorHAnsi" w:hAnsiTheme="minorHAnsi" w:cstheme="minorHAnsi"/>
        </w:rPr>
        <w:footnoteRef/>
      </w:r>
      <w:r w:rsidRPr="00050790">
        <w:rPr>
          <w:rFonts w:asciiTheme="minorHAnsi" w:hAnsiTheme="minorHAnsi" w:cstheme="minorHAnsi"/>
        </w:rPr>
        <w:t xml:space="preserve"> See e.g. example 1 in section 2.3 of this expert opinion.</w:t>
      </w:r>
    </w:p>
  </w:footnote>
  <w:footnote w:id="114">
    <w:p w14:paraId="6AD0B5A7" w14:textId="0B9DF7DD" w:rsidR="00020B0F" w:rsidRPr="00B51D01" w:rsidRDefault="00020B0F">
      <w:pPr>
        <w:pStyle w:val="FootnoteText"/>
        <w:rPr>
          <w:rFonts w:asciiTheme="minorHAnsi" w:hAnsiTheme="minorHAnsi" w:cstheme="minorHAnsi"/>
        </w:rPr>
      </w:pPr>
      <w:r w:rsidRPr="00B51D01">
        <w:rPr>
          <w:rStyle w:val="FootnoteReference"/>
          <w:rFonts w:asciiTheme="minorHAnsi" w:hAnsiTheme="minorHAnsi" w:cstheme="minorHAnsi"/>
        </w:rPr>
        <w:footnoteRef/>
      </w:r>
      <w:r w:rsidRPr="00B51D01">
        <w:rPr>
          <w:rFonts w:asciiTheme="minorHAnsi" w:hAnsiTheme="minorHAnsi" w:cstheme="minorHAnsi"/>
        </w:rPr>
        <w:t xml:space="preserve"> One higher appeal is still pending, the other was well-founded on another ground.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D169F"/>
    <w:multiLevelType w:val="multilevel"/>
    <w:tmpl w:val="FE4EAA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6FA44FE"/>
    <w:multiLevelType w:val="hybridMultilevel"/>
    <w:tmpl w:val="174C0EB4"/>
    <w:lvl w:ilvl="0" w:tplc="F9E6A6F4">
      <w:start w:val="1"/>
      <w:numFmt w:val="decimal"/>
      <w:lvlText w:val="%1."/>
      <w:lvlJc w:val="left"/>
      <w:pPr>
        <w:ind w:left="720" w:hanging="360"/>
      </w:pPr>
      <w:rPr>
        <w:rFonts w:asciiTheme="minorHAnsi" w:hAnsiTheme="minorHAnsi" w:cstheme="minorHAnsi" w:hint="default"/>
        <w:color w:val="auto"/>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87866D0"/>
    <w:multiLevelType w:val="hybridMultilevel"/>
    <w:tmpl w:val="26EEF3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CED757B"/>
    <w:multiLevelType w:val="multilevel"/>
    <w:tmpl w:val="7A72D584"/>
    <w:lvl w:ilvl="0">
      <w:start w:val="1"/>
      <w:numFmt w:val="decimal"/>
      <w:lvlText w:val="%1."/>
      <w:lvlJc w:val="left"/>
      <w:pPr>
        <w:ind w:left="1080" w:hanging="360"/>
      </w:pPr>
      <w:rPr>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0D96A93"/>
    <w:multiLevelType w:val="multilevel"/>
    <w:tmpl w:val="B240F15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28E80FAB"/>
    <w:multiLevelType w:val="hybridMultilevel"/>
    <w:tmpl w:val="81F072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4B95A32"/>
    <w:multiLevelType w:val="hybridMultilevel"/>
    <w:tmpl w:val="FB8A7D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ED5D21"/>
    <w:multiLevelType w:val="hybridMultilevel"/>
    <w:tmpl w:val="26EEF3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58446C9C"/>
    <w:multiLevelType w:val="hybridMultilevel"/>
    <w:tmpl w:val="DFD239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C336BBF"/>
    <w:multiLevelType w:val="multilevel"/>
    <w:tmpl w:val="B516B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4C70D4"/>
    <w:multiLevelType w:val="hybridMultilevel"/>
    <w:tmpl w:val="AA9A60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8A55AB1"/>
    <w:multiLevelType w:val="multilevel"/>
    <w:tmpl w:val="1696C1C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15:restartNumberingAfterBreak="0">
    <w:nsid w:val="69203E31"/>
    <w:multiLevelType w:val="hybridMultilevel"/>
    <w:tmpl w:val="B5D64448"/>
    <w:lvl w:ilvl="0" w:tplc="2DDEE7CA">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3" w15:restartNumberingAfterBreak="0">
    <w:nsid w:val="6C5D7E8F"/>
    <w:multiLevelType w:val="hybridMultilevel"/>
    <w:tmpl w:val="298ADE6C"/>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4" w15:restartNumberingAfterBreak="0">
    <w:nsid w:val="782C7AEB"/>
    <w:multiLevelType w:val="hybridMultilevel"/>
    <w:tmpl w:val="BA363A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1"/>
  </w:num>
  <w:num w:numId="4">
    <w:abstractNumId w:val="0"/>
  </w:num>
  <w:num w:numId="5">
    <w:abstractNumId w:val="9"/>
  </w:num>
  <w:num w:numId="6">
    <w:abstractNumId w:val="5"/>
  </w:num>
  <w:num w:numId="7">
    <w:abstractNumId w:val="13"/>
  </w:num>
  <w:num w:numId="8">
    <w:abstractNumId w:val="10"/>
  </w:num>
  <w:num w:numId="9">
    <w:abstractNumId w:val="12"/>
  </w:num>
  <w:num w:numId="10">
    <w:abstractNumId w:val="1"/>
  </w:num>
  <w:num w:numId="11">
    <w:abstractNumId w:val="8"/>
  </w:num>
  <w:num w:numId="12">
    <w:abstractNumId w:val="2"/>
  </w:num>
  <w:num w:numId="13">
    <w:abstractNumId w:val="7"/>
  </w:num>
  <w:num w:numId="14">
    <w:abstractNumId w:val="6"/>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2FAC"/>
    <w:rsid w:val="0000161C"/>
    <w:rsid w:val="00001706"/>
    <w:rsid w:val="00003701"/>
    <w:rsid w:val="00004438"/>
    <w:rsid w:val="0000584C"/>
    <w:rsid w:val="00011D2C"/>
    <w:rsid w:val="00015C73"/>
    <w:rsid w:val="00020B0F"/>
    <w:rsid w:val="000228E6"/>
    <w:rsid w:val="000279A3"/>
    <w:rsid w:val="00041272"/>
    <w:rsid w:val="00043450"/>
    <w:rsid w:val="00043B0F"/>
    <w:rsid w:val="00044641"/>
    <w:rsid w:val="00047AC9"/>
    <w:rsid w:val="00050790"/>
    <w:rsid w:val="0005485D"/>
    <w:rsid w:val="00056EE1"/>
    <w:rsid w:val="00061C35"/>
    <w:rsid w:val="0007213D"/>
    <w:rsid w:val="00073554"/>
    <w:rsid w:val="00076171"/>
    <w:rsid w:val="00081128"/>
    <w:rsid w:val="00095427"/>
    <w:rsid w:val="00097D4F"/>
    <w:rsid w:val="000A05CF"/>
    <w:rsid w:val="000A6A77"/>
    <w:rsid w:val="000A7712"/>
    <w:rsid w:val="000D6956"/>
    <w:rsid w:val="000E25CA"/>
    <w:rsid w:val="000E29B1"/>
    <w:rsid w:val="000E2FB6"/>
    <w:rsid w:val="000F0967"/>
    <w:rsid w:val="00101244"/>
    <w:rsid w:val="0010689C"/>
    <w:rsid w:val="00106C16"/>
    <w:rsid w:val="00111B9A"/>
    <w:rsid w:val="00111ECC"/>
    <w:rsid w:val="0013400E"/>
    <w:rsid w:val="00140ECF"/>
    <w:rsid w:val="0014438C"/>
    <w:rsid w:val="00146975"/>
    <w:rsid w:val="001469A6"/>
    <w:rsid w:val="00150CC7"/>
    <w:rsid w:val="001544A2"/>
    <w:rsid w:val="0015667D"/>
    <w:rsid w:val="00171088"/>
    <w:rsid w:val="0018211D"/>
    <w:rsid w:val="00184116"/>
    <w:rsid w:val="001852E7"/>
    <w:rsid w:val="001A2C0E"/>
    <w:rsid w:val="001A469A"/>
    <w:rsid w:val="001A5F1C"/>
    <w:rsid w:val="001B1FD3"/>
    <w:rsid w:val="001B4380"/>
    <w:rsid w:val="001D15EE"/>
    <w:rsid w:val="001D3456"/>
    <w:rsid w:val="001E2D06"/>
    <w:rsid w:val="001E5B56"/>
    <w:rsid w:val="001F7723"/>
    <w:rsid w:val="002000C2"/>
    <w:rsid w:val="00203ECE"/>
    <w:rsid w:val="002145FC"/>
    <w:rsid w:val="002171F6"/>
    <w:rsid w:val="0023459F"/>
    <w:rsid w:val="00243C37"/>
    <w:rsid w:val="00254324"/>
    <w:rsid w:val="002612C4"/>
    <w:rsid w:val="00265AC3"/>
    <w:rsid w:val="00267FD5"/>
    <w:rsid w:val="00273116"/>
    <w:rsid w:val="00285E3A"/>
    <w:rsid w:val="00286779"/>
    <w:rsid w:val="00293120"/>
    <w:rsid w:val="002A2FAA"/>
    <w:rsid w:val="002A5CC3"/>
    <w:rsid w:val="002C6210"/>
    <w:rsid w:val="002C6EDF"/>
    <w:rsid w:val="002D1D69"/>
    <w:rsid w:val="002E0791"/>
    <w:rsid w:val="002E119B"/>
    <w:rsid w:val="002F3084"/>
    <w:rsid w:val="002F5738"/>
    <w:rsid w:val="002F77CF"/>
    <w:rsid w:val="003133D8"/>
    <w:rsid w:val="00314A50"/>
    <w:rsid w:val="0032071B"/>
    <w:rsid w:val="00332FAC"/>
    <w:rsid w:val="00333078"/>
    <w:rsid w:val="0033565A"/>
    <w:rsid w:val="00341110"/>
    <w:rsid w:val="0034590E"/>
    <w:rsid w:val="00370C1D"/>
    <w:rsid w:val="00373A0A"/>
    <w:rsid w:val="00380B41"/>
    <w:rsid w:val="003847E0"/>
    <w:rsid w:val="003A2124"/>
    <w:rsid w:val="003A466E"/>
    <w:rsid w:val="003A7498"/>
    <w:rsid w:val="003A7770"/>
    <w:rsid w:val="003B0486"/>
    <w:rsid w:val="003B6BAD"/>
    <w:rsid w:val="003C35E7"/>
    <w:rsid w:val="003E18A3"/>
    <w:rsid w:val="003E65F3"/>
    <w:rsid w:val="00404737"/>
    <w:rsid w:val="0041216E"/>
    <w:rsid w:val="00412DA4"/>
    <w:rsid w:val="00423B18"/>
    <w:rsid w:val="004244EF"/>
    <w:rsid w:val="00432050"/>
    <w:rsid w:val="0043347F"/>
    <w:rsid w:val="00441BB8"/>
    <w:rsid w:val="004509B5"/>
    <w:rsid w:val="00457C54"/>
    <w:rsid w:val="0046067F"/>
    <w:rsid w:val="0046175F"/>
    <w:rsid w:val="00467EFD"/>
    <w:rsid w:val="00471574"/>
    <w:rsid w:val="00476E06"/>
    <w:rsid w:val="0047798E"/>
    <w:rsid w:val="00482DCA"/>
    <w:rsid w:val="00484E0C"/>
    <w:rsid w:val="00494D30"/>
    <w:rsid w:val="004958C0"/>
    <w:rsid w:val="00497243"/>
    <w:rsid w:val="004A0B2B"/>
    <w:rsid w:val="004A5C66"/>
    <w:rsid w:val="004A7D0F"/>
    <w:rsid w:val="004B0A9A"/>
    <w:rsid w:val="004B541F"/>
    <w:rsid w:val="004B774A"/>
    <w:rsid w:val="004C2061"/>
    <w:rsid w:val="004D06B8"/>
    <w:rsid w:val="004D1720"/>
    <w:rsid w:val="004D53B8"/>
    <w:rsid w:val="004E1F47"/>
    <w:rsid w:val="004E403F"/>
    <w:rsid w:val="004E6D44"/>
    <w:rsid w:val="004F72D8"/>
    <w:rsid w:val="005105C4"/>
    <w:rsid w:val="00510DAC"/>
    <w:rsid w:val="00525C55"/>
    <w:rsid w:val="00545F3C"/>
    <w:rsid w:val="0055174A"/>
    <w:rsid w:val="005558CF"/>
    <w:rsid w:val="00555FA2"/>
    <w:rsid w:val="005573AB"/>
    <w:rsid w:val="00562D5C"/>
    <w:rsid w:val="00572E87"/>
    <w:rsid w:val="005947BC"/>
    <w:rsid w:val="00596B73"/>
    <w:rsid w:val="005A285F"/>
    <w:rsid w:val="005B25E0"/>
    <w:rsid w:val="005C1703"/>
    <w:rsid w:val="005C3FF9"/>
    <w:rsid w:val="005D4E65"/>
    <w:rsid w:val="005E04FA"/>
    <w:rsid w:val="005E1D2E"/>
    <w:rsid w:val="005F2372"/>
    <w:rsid w:val="005F6B86"/>
    <w:rsid w:val="00610261"/>
    <w:rsid w:val="00623C89"/>
    <w:rsid w:val="0062525A"/>
    <w:rsid w:val="00634BA8"/>
    <w:rsid w:val="0064788D"/>
    <w:rsid w:val="00653014"/>
    <w:rsid w:val="00654B25"/>
    <w:rsid w:val="006607A4"/>
    <w:rsid w:val="00663149"/>
    <w:rsid w:val="00665BCC"/>
    <w:rsid w:val="0066774D"/>
    <w:rsid w:val="00672AB2"/>
    <w:rsid w:val="00675078"/>
    <w:rsid w:val="00675305"/>
    <w:rsid w:val="00697032"/>
    <w:rsid w:val="006C1D9A"/>
    <w:rsid w:val="006C27CF"/>
    <w:rsid w:val="006C360D"/>
    <w:rsid w:val="006E6134"/>
    <w:rsid w:val="006F0AEA"/>
    <w:rsid w:val="006F4B80"/>
    <w:rsid w:val="00703917"/>
    <w:rsid w:val="007108FC"/>
    <w:rsid w:val="00711A06"/>
    <w:rsid w:val="00717A37"/>
    <w:rsid w:val="00751B54"/>
    <w:rsid w:val="00756E1F"/>
    <w:rsid w:val="0076036E"/>
    <w:rsid w:val="00771719"/>
    <w:rsid w:val="00787FDB"/>
    <w:rsid w:val="00790B20"/>
    <w:rsid w:val="007A3B23"/>
    <w:rsid w:val="007A499F"/>
    <w:rsid w:val="007A5190"/>
    <w:rsid w:val="007B3E5E"/>
    <w:rsid w:val="007C1ED3"/>
    <w:rsid w:val="007D0AC3"/>
    <w:rsid w:val="007D36E2"/>
    <w:rsid w:val="007D5B87"/>
    <w:rsid w:val="007D76B8"/>
    <w:rsid w:val="007E50DD"/>
    <w:rsid w:val="007F5C63"/>
    <w:rsid w:val="007F72D6"/>
    <w:rsid w:val="007F762A"/>
    <w:rsid w:val="008006FE"/>
    <w:rsid w:val="00801EB5"/>
    <w:rsid w:val="00805D6A"/>
    <w:rsid w:val="00810F40"/>
    <w:rsid w:val="0081262D"/>
    <w:rsid w:val="0081392D"/>
    <w:rsid w:val="0081771C"/>
    <w:rsid w:val="0082696A"/>
    <w:rsid w:val="00851E25"/>
    <w:rsid w:val="00866950"/>
    <w:rsid w:val="00876177"/>
    <w:rsid w:val="008845ED"/>
    <w:rsid w:val="00895587"/>
    <w:rsid w:val="00896DDA"/>
    <w:rsid w:val="008A03DB"/>
    <w:rsid w:val="008A4DFF"/>
    <w:rsid w:val="008A6776"/>
    <w:rsid w:val="008B21CB"/>
    <w:rsid w:val="008B26C5"/>
    <w:rsid w:val="008B7350"/>
    <w:rsid w:val="008C23DE"/>
    <w:rsid w:val="008C3C8B"/>
    <w:rsid w:val="008D0274"/>
    <w:rsid w:val="008D0F63"/>
    <w:rsid w:val="008D3CC9"/>
    <w:rsid w:val="008D6508"/>
    <w:rsid w:val="008F3E3C"/>
    <w:rsid w:val="008F50D9"/>
    <w:rsid w:val="00900737"/>
    <w:rsid w:val="0090319E"/>
    <w:rsid w:val="00916826"/>
    <w:rsid w:val="00934BAA"/>
    <w:rsid w:val="00942568"/>
    <w:rsid w:val="0095521A"/>
    <w:rsid w:val="00955709"/>
    <w:rsid w:val="0095629B"/>
    <w:rsid w:val="00957372"/>
    <w:rsid w:val="009575BB"/>
    <w:rsid w:val="00974E29"/>
    <w:rsid w:val="009753B9"/>
    <w:rsid w:val="00975400"/>
    <w:rsid w:val="00984384"/>
    <w:rsid w:val="0098589F"/>
    <w:rsid w:val="009864F1"/>
    <w:rsid w:val="00996EB5"/>
    <w:rsid w:val="009B00B4"/>
    <w:rsid w:val="009B0D26"/>
    <w:rsid w:val="009C3795"/>
    <w:rsid w:val="009D3849"/>
    <w:rsid w:val="009D6353"/>
    <w:rsid w:val="009E0ACE"/>
    <w:rsid w:val="009E2D5A"/>
    <w:rsid w:val="009F36D2"/>
    <w:rsid w:val="009F485A"/>
    <w:rsid w:val="009F775A"/>
    <w:rsid w:val="00A02916"/>
    <w:rsid w:val="00A06734"/>
    <w:rsid w:val="00A1225C"/>
    <w:rsid w:val="00A23C68"/>
    <w:rsid w:val="00A30414"/>
    <w:rsid w:val="00A37CDC"/>
    <w:rsid w:val="00A44D95"/>
    <w:rsid w:val="00A5166E"/>
    <w:rsid w:val="00A51D49"/>
    <w:rsid w:val="00A53225"/>
    <w:rsid w:val="00A56149"/>
    <w:rsid w:val="00A63D45"/>
    <w:rsid w:val="00A66688"/>
    <w:rsid w:val="00A708F1"/>
    <w:rsid w:val="00A75B62"/>
    <w:rsid w:val="00A7790C"/>
    <w:rsid w:val="00A866F6"/>
    <w:rsid w:val="00A97AE6"/>
    <w:rsid w:val="00AA2D41"/>
    <w:rsid w:val="00AA3843"/>
    <w:rsid w:val="00AB488E"/>
    <w:rsid w:val="00AC0F69"/>
    <w:rsid w:val="00AC1118"/>
    <w:rsid w:val="00AC6053"/>
    <w:rsid w:val="00AC6B92"/>
    <w:rsid w:val="00AD1EE4"/>
    <w:rsid w:val="00AD431A"/>
    <w:rsid w:val="00AE700A"/>
    <w:rsid w:val="00AE7966"/>
    <w:rsid w:val="00AF2632"/>
    <w:rsid w:val="00B01858"/>
    <w:rsid w:val="00B05253"/>
    <w:rsid w:val="00B07B91"/>
    <w:rsid w:val="00B13316"/>
    <w:rsid w:val="00B25835"/>
    <w:rsid w:val="00B26DDF"/>
    <w:rsid w:val="00B276A5"/>
    <w:rsid w:val="00B32199"/>
    <w:rsid w:val="00B35063"/>
    <w:rsid w:val="00B467E9"/>
    <w:rsid w:val="00B46C55"/>
    <w:rsid w:val="00B51D01"/>
    <w:rsid w:val="00B608C6"/>
    <w:rsid w:val="00B63EF3"/>
    <w:rsid w:val="00B7021A"/>
    <w:rsid w:val="00B80569"/>
    <w:rsid w:val="00B87FB4"/>
    <w:rsid w:val="00B972DE"/>
    <w:rsid w:val="00BB1A23"/>
    <w:rsid w:val="00BB5B00"/>
    <w:rsid w:val="00BC0255"/>
    <w:rsid w:val="00BD7DE8"/>
    <w:rsid w:val="00BE2AEA"/>
    <w:rsid w:val="00BE5080"/>
    <w:rsid w:val="00BF339C"/>
    <w:rsid w:val="00C03592"/>
    <w:rsid w:val="00C11FA9"/>
    <w:rsid w:val="00C14DFA"/>
    <w:rsid w:val="00C27269"/>
    <w:rsid w:val="00C35A0E"/>
    <w:rsid w:val="00C35FDA"/>
    <w:rsid w:val="00C37E74"/>
    <w:rsid w:val="00C46D38"/>
    <w:rsid w:val="00C47239"/>
    <w:rsid w:val="00C53650"/>
    <w:rsid w:val="00C577E3"/>
    <w:rsid w:val="00C728C8"/>
    <w:rsid w:val="00C835C1"/>
    <w:rsid w:val="00C83EFB"/>
    <w:rsid w:val="00C91E70"/>
    <w:rsid w:val="00C9365C"/>
    <w:rsid w:val="00C944D7"/>
    <w:rsid w:val="00C946BE"/>
    <w:rsid w:val="00C9554A"/>
    <w:rsid w:val="00CA1F63"/>
    <w:rsid w:val="00CA2BE3"/>
    <w:rsid w:val="00CA3F74"/>
    <w:rsid w:val="00CA627C"/>
    <w:rsid w:val="00CC7579"/>
    <w:rsid w:val="00CD04CD"/>
    <w:rsid w:val="00CD6F74"/>
    <w:rsid w:val="00CE51F4"/>
    <w:rsid w:val="00CF354A"/>
    <w:rsid w:val="00D05691"/>
    <w:rsid w:val="00D05C00"/>
    <w:rsid w:val="00D0607E"/>
    <w:rsid w:val="00D15D8E"/>
    <w:rsid w:val="00D258D2"/>
    <w:rsid w:val="00D25BDD"/>
    <w:rsid w:val="00D30377"/>
    <w:rsid w:val="00D30FF0"/>
    <w:rsid w:val="00D334D5"/>
    <w:rsid w:val="00D364FC"/>
    <w:rsid w:val="00D64D5F"/>
    <w:rsid w:val="00D652B5"/>
    <w:rsid w:val="00D75627"/>
    <w:rsid w:val="00D7702E"/>
    <w:rsid w:val="00D80F6D"/>
    <w:rsid w:val="00D84FCA"/>
    <w:rsid w:val="00D91ED3"/>
    <w:rsid w:val="00DC30D4"/>
    <w:rsid w:val="00DD2C03"/>
    <w:rsid w:val="00DF196A"/>
    <w:rsid w:val="00E02353"/>
    <w:rsid w:val="00E031AA"/>
    <w:rsid w:val="00E13F49"/>
    <w:rsid w:val="00E159A6"/>
    <w:rsid w:val="00E162BD"/>
    <w:rsid w:val="00E1724F"/>
    <w:rsid w:val="00E20139"/>
    <w:rsid w:val="00E21A47"/>
    <w:rsid w:val="00E37AFD"/>
    <w:rsid w:val="00E4082C"/>
    <w:rsid w:val="00E414E8"/>
    <w:rsid w:val="00E4436E"/>
    <w:rsid w:val="00E44A5A"/>
    <w:rsid w:val="00E46263"/>
    <w:rsid w:val="00E60CB5"/>
    <w:rsid w:val="00E61ABA"/>
    <w:rsid w:val="00E659C5"/>
    <w:rsid w:val="00E72821"/>
    <w:rsid w:val="00E80007"/>
    <w:rsid w:val="00E838AF"/>
    <w:rsid w:val="00E87467"/>
    <w:rsid w:val="00E94572"/>
    <w:rsid w:val="00E95712"/>
    <w:rsid w:val="00E962AB"/>
    <w:rsid w:val="00EA34B2"/>
    <w:rsid w:val="00EB0FC2"/>
    <w:rsid w:val="00EB26CF"/>
    <w:rsid w:val="00EB412B"/>
    <w:rsid w:val="00EC6EB1"/>
    <w:rsid w:val="00ED6EA5"/>
    <w:rsid w:val="00EE2F35"/>
    <w:rsid w:val="00EE57B1"/>
    <w:rsid w:val="00EE6D1D"/>
    <w:rsid w:val="00EF3663"/>
    <w:rsid w:val="00EF764B"/>
    <w:rsid w:val="00F01FAC"/>
    <w:rsid w:val="00F054F8"/>
    <w:rsid w:val="00F11C17"/>
    <w:rsid w:val="00F20CEB"/>
    <w:rsid w:val="00F26DBA"/>
    <w:rsid w:val="00F3259A"/>
    <w:rsid w:val="00F50659"/>
    <w:rsid w:val="00F67CD7"/>
    <w:rsid w:val="00F769CB"/>
    <w:rsid w:val="00F778F5"/>
    <w:rsid w:val="00F8070D"/>
    <w:rsid w:val="00F84CD1"/>
    <w:rsid w:val="00F86398"/>
    <w:rsid w:val="00F91187"/>
    <w:rsid w:val="00FA0CDB"/>
    <w:rsid w:val="00FB26F4"/>
    <w:rsid w:val="00FB51EE"/>
    <w:rsid w:val="00FC1184"/>
    <w:rsid w:val="00FC1863"/>
    <w:rsid w:val="00FD1650"/>
    <w:rsid w:val="00FD2774"/>
    <w:rsid w:val="00FD44FA"/>
    <w:rsid w:val="00FE5988"/>
    <w:rsid w:val="00FF781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04DAF"/>
  <w15:docId w15:val="{C9553FAD-609C-4F66-8E0B-2F1C11AA7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184"/>
    <w:rPr>
      <w:rFonts w:ascii="Times New Roman" w:eastAsia="Times New Roman" w:hAnsi="Times New Roman" w:cs="Times New Roman"/>
      <w:lang w:eastAsia="nl-NL"/>
    </w:rPr>
  </w:style>
  <w:style w:type="paragraph" w:styleId="Heading1">
    <w:name w:val="heading 1"/>
    <w:basedOn w:val="Normal"/>
    <w:next w:val="Normal"/>
    <w:link w:val="Heading1Char"/>
    <w:uiPriority w:val="9"/>
    <w:qFormat/>
    <w:rsid w:val="005558CF"/>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
    <w:uiPriority w:val="9"/>
    <w:unhideWhenUsed/>
    <w:qFormat/>
    <w:rsid w:val="005558CF"/>
    <w:pPr>
      <w:keepNext/>
      <w:keepLines/>
      <w:spacing w:before="40"/>
      <w:outlineLvl w:val="1"/>
    </w:pPr>
    <w:rPr>
      <w:rFonts w:asciiTheme="majorHAnsi" w:eastAsiaTheme="majorEastAsia" w:hAnsiTheme="majorHAnsi" w:cstheme="majorBidi"/>
      <w:b/>
      <w:color w:val="000000" w:themeColor="text1"/>
      <w:sz w:val="26"/>
      <w:szCs w:val="26"/>
    </w:rPr>
  </w:style>
  <w:style w:type="paragraph" w:styleId="Heading3">
    <w:name w:val="heading 3"/>
    <w:basedOn w:val="Normal"/>
    <w:next w:val="Normal"/>
    <w:link w:val="Heading3Char"/>
    <w:uiPriority w:val="9"/>
    <w:unhideWhenUsed/>
    <w:qFormat/>
    <w:rsid w:val="005558CF"/>
    <w:pPr>
      <w:keepNext/>
      <w:keepLines/>
      <w:spacing w:before="40"/>
      <w:outlineLvl w:val="2"/>
    </w:pPr>
    <w:rPr>
      <w:rFonts w:asciiTheme="majorHAnsi" w:eastAsiaTheme="majorEastAsia" w:hAnsiTheme="majorHAnsi" w:cstheme="majorBidi"/>
      <w:color w:val="000000" w:themeColor="text1"/>
    </w:rPr>
  </w:style>
  <w:style w:type="paragraph" w:styleId="Heading4">
    <w:name w:val="heading 4"/>
    <w:basedOn w:val="Normal"/>
    <w:next w:val="Normal"/>
    <w:link w:val="Heading4Char"/>
    <w:uiPriority w:val="9"/>
    <w:unhideWhenUsed/>
    <w:qFormat/>
    <w:rsid w:val="005558CF"/>
    <w:pPr>
      <w:keepNext/>
      <w:keepLines/>
      <w:spacing w:before="40" w:line="259" w:lineRule="auto"/>
      <w:outlineLvl w:val="3"/>
    </w:pPr>
    <w:rPr>
      <w:rFonts w:asciiTheme="majorHAnsi" w:eastAsiaTheme="majorEastAsia" w:hAnsiTheme="majorHAnsi" w:cstheme="majorBidi"/>
      <w:i/>
      <w:iCs/>
      <w:color w:val="000000" w:themeColor="text1"/>
      <w:sz w:val="22"/>
      <w:szCs w:val="22"/>
    </w:rPr>
  </w:style>
  <w:style w:type="paragraph" w:styleId="Heading5">
    <w:name w:val="heading 5"/>
    <w:basedOn w:val="Normal"/>
    <w:next w:val="Normal"/>
    <w:link w:val="Heading5Char"/>
    <w:uiPriority w:val="9"/>
    <w:semiHidden/>
    <w:unhideWhenUsed/>
    <w:qFormat/>
    <w:rsid w:val="00587ED5"/>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9873B2"/>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991BE7"/>
    <w:pPr>
      <w:ind w:left="720"/>
      <w:contextualSpacing/>
    </w:pPr>
  </w:style>
  <w:style w:type="paragraph" w:styleId="NormalWeb">
    <w:name w:val="Normal (Web)"/>
    <w:basedOn w:val="Normal"/>
    <w:uiPriority w:val="99"/>
    <w:unhideWhenUsed/>
    <w:rsid w:val="009A3285"/>
    <w:pPr>
      <w:spacing w:before="100" w:beforeAutospacing="1" w:after="100" w:afterAutospacing="1"/>
    </w:pPr>
  </w:style>
  <w:style w:type="character" w:customStyle="1" w:styleId="apple-tab-span">
    <w:name w:val="apple-tab-span"/>
    <w:basedOn w:val="DefaultParagraphFont"/>
    <w:rsid w:val="009A3285"/>
  </w:style>
  <w:style w:type="paragraph" w:styleId="BalloonText">
    <w:name w:val="Balloon Text"/>
    <w:basedOn w:val="Normal"/>
    <w:link w:val="BalloonTextChar"/>
    <w:uiPriority w:val="99"/>
    <w:semiHidden/>
    <w:unhideWhenUsed/>
    <w:rsid w:val="009A3285"/>
    <w:rPr>
      <w:sz w:val="18"/>
      <w:szCs w:val="18"/>
    </w:rPr>
  </w:style>
  <w:style w:type="character" w:customStyle="1" w:styleId="BalloonTextChar">
    <w:name w:val="Balloon Text Char"/>
    <w:basedOn w:val="DefaultParagraphFont"/>
    <w:link w:val="BalloonText"/>
    <w:uiPriority w:val="99"/>
    <w:semiHidden/>
    <w:rsid w:val="009A3285"/>
    <w:rPr>
      <w:rFonts w:ascii="Times New Roman" w:hAnsi="Times New Roman" w:cs="Times New Roman"/>
      <w:sz w:val="18"/>
      <w:szCs w:val="18"/>
    </w:rPr>
  </w:style>
  <w:style w:type="paragraph" w:styleId="FootnoteText">
    <w:name w:val="footnote text"/>
    <w:basedOn w:val="Normal"/>
    <w:link w:val="FootnoteTextChar"/>
    <w:uiPriority w:val="99"/>
    <w:unhideWhenUsed/>
    <w:rsid w:val="009A3285"/>
    <w:rPr>
      <w:sz w:val="20"/>
      <w:szCs w:val="20"/>
    </w:rPr>
  </w:style>
  <w:style w:type="character" w:customStyle="1" w:styleId="FootnoteTextChar">
    <w:name w:val="Footnote Text Char"/>
    <w:basedOn w:val="DefaultParagraphFont"/>
    <w:link w:val="FootnoteText"/>
    <w:uiPriority w:val="99"/>
    <w:rsid w:val="009A3285"/>
    <w:rPr>
      <w:sz w:val="20"/>
      <w:szCs w:val="20"/>
    </w:rPr>
  </w:style>
  <w:style w:type="character" w:styleId="FootnoteReference">
    <w:name w:val="footnote reference"/>
    <w:basedOn w:val="DefaultParagraphFont"/>
    <w:uiPriority w:val="99"/>
    <w:semiHidden/>
    <w:unhideWhenUsed/>
    <w:rsid w:val="009A3285"/>
    <w:rPr>
      <w:vertAlign w:val="superscript"/>
    </w:rPr>
  </w:style>
  <w:style w:type="character" w:customStyle="1" w:styleId="Heading1Char">
    <w:name w:val="Heading 1 Char"/>
    <w:basedOn w:val="DefaultParagraphFont"/>
    <w:link w:val="Heading1"/>
    <w:rsid w:val="005558CF"/>
    <w:rPr>
      <w:rFonts w:asciiTheme="majorHAnsi" w:eastAsiaTheme="majorEastAsia" w:hAnsiTheme="majorHAnsi" w:cstheme="majorBidi"/>
      <w:b/>
      <w:color w:val="000000" w:themeColor="text1"/>
      <w:sz w:val="28"/>
      <w:szCs w:val="32"/>
    </w:rPr>
  </w:style>
  <w:style w:type="character" w:customStyle="1" w:styleId="Heading2Char">
    <w:name w:val="Heading 2 Char"/>
    <w:basedOn w:val="DefaultParagraphFont"/>
    <w:link w:val="Heading2"/>
    <w:uiPriority w:val="9"/>
    <w:rsid w:val="005558CF"/>
    <w:rPr>
      <w:rFonts w:asciiTheme="majorHAnsi" w:eastAsiaTheme="majorEastAsia" w:hAnsiTheme="majorHAnsi" w:cstheme="majorBidi"/>
      <w:b/>
      <w:color w:val="000000" w:themeColor="text1"/>
      <w:sz w:val="26"/>
      <w:szCs w:val="26"/>
    </w:rPr>
  </w:style>
  <w:style w:type="paragraph" w:styleId="NoSpacing">
    <w:name w:val="No Spacing"/>
    <w:uiPriority w:val="1"/>
    <w:qFormat/>
    <w:rsid w:val="00A079B9"/>
    <w:rPr>
      <w:sz w:val="22"/>
      <w:szCs w:val="22"/>
      <w:lang w:val="nl-NL"/>
    </w:rPr>
  </w:style>
  <w:style w:type="character" w:customStyle="1" w:styleId="Heading3Char">
    <w:name w:val="Heading 3 Char"/>
    <w:basedOn w:val="DefaultParagraphFont"/>
    <w:link w:val="Heading3"/>
    <w:uiPriority w:val="9"/>
    <w:rsid w:val="005558CF"/>
    <w:rPr>
      <w:rFonts w:asciiTheme="majorHAnsi" w:eastAsiaTheme="majorEastAsia" w:hAnsiTheme="majorHAnsi" w:cstheme="majorBidi"/>
      <w:color w:val="000000" w:themeColor="text1"/>
    </w:rPr>
  </w:style>
  <w:style w:type="character" w:styleId="CommentReference">
    <w:name w:val="annotation reference"/>
    <w:basedOn w:val="DefaultParagraphFont"/>
    <w:uiPriority w:val="99"/>
    <w:semiHidden/>
    <w:unhideWhenUsed/>
    <w:rsid w:val="00A079B9"/>
    <w:rPr>
      <w:sz w:val="16"/>
      <w:szCs w:val="16"/>
    </w:rPr>
  </w:style>
  <w:style w:type="paragraph" w:styleId="CommentText">
    <w:name w:val="annotation text"/>
    <w:basedOn w:val="Normal"/>
    <w:link w:val="CommentTextChar"/>
    <w:uiPriority w:val="99"/>
    <w:unhideWhenUsed/>
    <w:rsid w:val="00A079B9"/>
    <w:rPr>
      <w:sz w:val="20"/>
      <w:szCs w:val="20"/>
    </w:rPr>
  </w:style>
  <w:style w:type="character" w:customStyle="1" w:styleId="CommentTextChar">
    <w:name w:val="Comment Text Char"/>
    <w:basedOn w:val="DefaultParagraphFont"/>
    <w:link w:val="CommentText"/>
    <w:uiPriority w:val="99"/>
    <w:rsid w:val="00A079B9"/>
    <w:rPr>
      <w:sz w:val="20"/>
      <w:szCs w:val="20"/>
      <w:lang w:val="en-GB"/>
    </w:rPr>
  </w:style>
  <w:style w:type="paragraph" w:styleId="TOCHeading">
    <w:name w:val="TOC Heading"/>
    <w:basedOn w:val="Heading1"/>
    <w:next w:val="Normal"/>
    <w:uiPriority w:val="39"/>
    <w:unhideWhenUsed/>
    <w:qFormat/>
    <w:rsid w:val="00536B4E"/>
    <w:pPr>
      <w:spacing w:before="480" w:line="276" w:lineRule="auto"/>
      <w:outlineLvl w:val="9"/>
    </w:pPr>
    <w:rPr>
      <w:b w:val="0"/>
      <w:bCs/>
      <w:szCs w:val="28"/>
    </w:rPr>
  </w:style>
  <w:style w:type="paragraph" w:styleId="TOC1">
    <w:name w:val="toc 1"/>
    <w:basedOn w:val="Normal"/>
    <w:next w:val="Normal"/>
    <w:autoRedefine/>
    <w:uiPriority w:val="39"/>
    <w:unhideWhenUsed/>
    <w:rsid w:val="00536B4E"/>
    <w:pPr>
      <w:spacing w:before="120" w:after="120"/>
    </w:pPr>
    <w:rPr>
      <w:b/>
      <w:bCs/>
      <w:caps/>
      <w:sz w:val="20"/>
      <w:szCs w:val="20"/>
    </w:rPr>
  </w:style>
  <w:style w:type="paragraph" w:styleId="TOC2">
    <w:name w:val="toc 2"/>
    <w:basedOn w:val="Normal"/>
    <w:next w:val="Normal"/>
    <w:autoRedefine/>
    <w:uiPriority w:val="39"/>
    <w:unhideWhenUsed/>
    <w:rsid w:val="00536B4E"/>
    <w:pPr>
      <w:ind w:left="240"/>
    </w:pPr>
    <w:rPr>
      <w:smallCaps/>
      <w:sz w:val="20"/>
      <w:szCs w:val="20"/>
    </w:rPr>
  </w:style>
  <w:style w:type="paragraph" w:styleId="TOC3">
    <w:name w:val="toc 3"/>
    <w:basedOn w:val="Normal"/>
    <w:next w:val="Normal"/>
    <w:autoRedefine/>
    <w:uiPriority w:val="39"/>
    <w:unhideWhenUsed/>
    <w:rsid w:val="00536B4E"/>
    <w:pPr>
      <w:ind w:left="480"/>
    </w:pPr>
    <w:rPr>
      <w:i/>
      <w:iCs/>
      <w:sz w:val="20"/>
      <w:szCs w:val="20"/>
    </w:rPr>
  </w:style>
  <w:style w:type="character" w:styleId="Hyperlink">
    <w:name w:val="Hyperlink"/>
    <w:basedOn w:val="DefaultParagraphFont"/>
    <w:uiPriority w:val="99"/>
    <w:unhideWhenUsed/>
    <w:rsid w:val="00536B4E"/>
    <w:rPr>
      <w:color w:val="0563C1" w:themeColor="hyperlink"/>
      <w:u w:val="single"/>
    </w:rPr>
  </w:style>
  <w:style w:type="paragraph" w:styleId="TOC4">
    <w:name w:val="toc 4"/>
    <w:basedOn w:val="Normal"/>
    <w:next w:val="Normal"/>
    <w:autoRedefine/>
    <w:uiPriority w:val="39"/>
    <w:unhideWhenUsed/>
    <w:rsid w:val="00536B4E"/>
    <w:pPr>
      <w:ind w:left="720"/>
    </w:pPr>
    <w:rPr>
      <w:sz w:val="18"/>
      <w:szCs w:val="18"/>
    </w:rPr>
  </w:style>
  <w:style w:type="paragraph" w:styleId="TOC5">
    <w:name w:val="toc 5"/>
    <w:basedOn w:val="Normal"/>
    <w:next w:val="Normal"/>
    <w:autoRedefine/>
    <w:uiPriority w:val="39"/>
    <w:semiHidden/>
    <w:unhideWhenUsed/>
    <w:rsid w:val="00536B4E"/>
    <w:pPr>
      <w:ind w:left="960"/>
    </w:pPr>
    <w:rPr>
      <w:sz w:val="18"/>
      <w:szCs w:val="18"/>
    </w:rPr>
  </w:style>
  <w:style w:type="paragraph" w:styleId="TOC6">
    <w:name w:val="toc 6"/>
    <w:basedOn w:val="Normal"/>
    <w:next w:val="Normal"/>
    <w:autoRedefine/>
    <w:uiPriority w:val="39"/>
    <w:semiHidden/>
    <w:unhideWhenUsed/>
    <w:rsid w:val="00536B4E"/>
    <w:pPr>
      <w:ind w:left="1200"/>
    </w:pPr>
    <w:rPr>
      <w:sz w:val="18"/>
      <w:szCs w:val="18"/>
    </w:rPr>
  </w:style>
  <w:style w:type="paragraph" w:styleId="TOC7">
    <w:name w:val="toc 7"/>
    <w:basedOn w:val="Normal"/>
    <w:next w:val="Normal"/>
    <w:autoRedefine/>
    <w:uiPriority w:val="39"/>
    <w:semiHidden/>
    <w:unhideWhenUsed/>
    <w:rsid w:val="00536B4E"/>
    <w:pPr>
      <w:ind w:left="1440"/>
    </w:pPr>
    <w:rPr>
      <w:sz w:val="18"/>
      <w:szCs w:val="18"/>
    </w:rPr>
  </w:style>
  <w:style w:type="paragraph" w:styleId="TOC8">
    <w:name w:val="toc 8"/>
    <w:basedOn w:val="Normal"/>
    <w:next w:val="Normal"/>
    <w:autoRedefine/>
    <w:uiPriority w:val="39"/>
    <w:semiHidden/>
    <w:unhideWhenUsed/>
    <w:rsid w:val="00536B4E"/>
    <w:pPr>
      <w:ind w:left="1680"/>
    </w:pPr>
    <w:rPr>
      <w:sz w:val="18"/>
      <w:szCs w:val="18"/>
    </w:rPr>
  </w:style>
  <w:style w:type="paragraph" w:styleId="TOC9">
    <w:name w:val="toc 9"/>
    <w:basedOn w:val="Normal"/>
    <w:next w:val="Normal"/>
    <w:autoRedefine/>
    <w:uiPriority w:val="39"/>
    <w:semiHidden/>
    <w:unhideWhenUsed/>
    <w:rsid w:val="00536B4E"/>
    <w:pPr>
      <w:ind w:left="1920"/>
    </w:pPr>
    <w:rPr>
      <w:sz w:val="18"/>
      <w:szCs w:val="18"/>
    </w:rPr>
  </w:style>
  <w:style w:type="character" w:styleId="FollowedHyperlink">
    <w:name w:val="FollowedHyperlink"/>
    <w:basedOn w:val="DefaultParagraphFont"/>
    <w:uiPriority w:val="99"/>
    <w:semiHidden/>
    <w:unhideWhenUsed/>
    <w:rsid w:val="00587ED5"/>
    <w:rPr>
      <w:color w:val="954F72" w:themeColor="followedHyperlink"/>
      <w:u w:val="single"/>
    </w:rPr>
  </w:style>
  <w:style w:type="character" w:customStyle="1" w:styleId="Heading4Char">
    <w:name w:val="Heading 4 Char"/>
    <w:basedOn w:val="DefaultParagraphFont"/>
    <w:link w:val="Heading4"/>
    <w:uiPriority w:val="9"/>
    <w:rsid w:val="005558CF"/>
    <w:rPr>
      <w:rFonts w:asciiTheme="majorHAnsi" w:eastAsiaTheme="majorEastAsia" w:hAnsiTheme="majorHAnsi" w:cstheme="majorBidi"/>
      <w:i/>
      <w:iCs/>
      <w:color w:val="000000" w:themeColor="text1"/>
      <w:sz w:val="22"/>
      <w:szCs w:val="22"/>
      <w:lang w:val="nl-NL"/>
    </w:rPr>
  </w:style>
  <w:style w:type="paragraph" w:styleId="EndnoteText">
    <w:name w:val="endnote text"/>
    <w:basedOn w:val="Normal"/>
    <w:link w:val="EndnoteTextChar"/>
    <w:uiPriority w:val="99"/>
    <w:semiHidden/>
    <w:unhideWhenUsed/>
    <w:rsid w:val="00587ED5"/>
    <w:rPr>
      <w:sz w:val="20"/>
      <w:szCs w:val="20"/>
    </w:rPr>
  </w:style>
  <w:style w:type="character" w:customStyle="1" w:styleId="EndnoteTextChar">
    <w:name w:val="Endnote Text Char"/>
    <w:basedOn w:val="DefaultParagraphFont"/>
    <w:link w:val="EndnoteText"/>
    <w:uiPriority w:val="99"/>
    <w:semiHidden/>
    <w:rsid w:val="00587ED5"/>
    <w:rPr>
      <w:sz w:val="20"/>
      <w:szCs w:val="20"/>
      <w:lang w:val="nl-NL"/>
    </w:rPr>
  </w:style>
  <w:style w:type="character" w:customStyle="1" w:styleId="Heading5Char">
    <w:name w:val="Heading 5 Char"/>
    <w:basedOn w:val="DefaultParagraphFont"/>
    <w:link w:val="Heading5"/>
    <w:uiPriority w:val="9"/>
    <w:rsid w:val="00587ED5"/>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9873B2"/>
    <w:rPr>
      <w:rFonts w:asciiTheme="majorHAnsi" w:eastAsiaTheme="majorEastAsia" w:hAnsiTheme="majorHAnsi" w:cstheme="majorBidi"/>
      <w:color w:val="1F3763" w:themeColor="accent1" w:themeShade="7F"/>
    </w:rPr>
  </w:style>
  <w:style w:type="paragraph" w:styleId="Footer">
    <w:name w:val="footer"/>
    <w:basedOn w:val="Normal"/>
    <w:link w:val="FooterChar"/>
    <w:uiPriority w:val="99"/>
    <w:unhideWhenUsed/>
    <w:rsid w:val="009873B2"/>
    <w:pPr>
      <w:tabs>
        <w:tab w:val="center" w:pos="4536"/>
        <w:tab w:val="right" w:pos="9072"/>
      </w:tabs>
    </w:pPr>
  </w:style>
  <w:style w:type="character" w:customStyle="1" w:styleId="FooterChar">
    <w:name w:val="Footer Char"/>
    <w:basedOn w:val="DefaultParagraphFont"/>
    <w:link w:val="Footer"/>
    <w:uiPriority w:val="99"/>
    <w:rsid w:val="009873B2"/>
  </w:style>
  <w:style w:type="character" w:styleId="PageNumber">
    <w:name w:val="page number"/>
    <w:basedOn w:val="DefaultParagraphFont"/>
    <w:uiPriority w:val="99"/>
    <w:semiHidden/>
    <w:unhideWhenUsed/>
    <w:rsid w:val="009873B2"/>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1"/>
    <w:tblPr>
      <w:tblStyleRowBandSize w:val="1"/>
      <w:tblStyleColBandSize w:val="1"/>
    </w:tblPr>
  </w:style>
  <w:style w:type="table" w:customStyle="1" w:styleId="TableGrid">
    <w:name w:val="TableGrid"/>
    <w:rsid w:val="00876177"/>
    <w:rPr>
      <w:rFonts w:asciiTheme="minorHAnsi" w:eastAsiaTheme="minorEastAsia" w:hAnsiTheme="minorHAnsi" w:cstheme="minorBidi"/>
      <w:lang w:val="de-DE"/>
    </w:rPr>
    <w:tblPr>
      <w:tblCellMar>
        <w:top w:w="0" w:type="dxa"/>
        <w:left w:w="0" w:type="dxa"/>
        <w:bottom w:w="0" w:type="dxa"/>
        <w:right w:w="0" w:type="dxa"/>
      </w:tblCellMar>
    </w:tblPr>
  </w:style>
  <w:style w:type="table" w:styleId="TableGrid0">
    <w:name w:val="Table Grid"/>
    <w:basedOn w:val="TableNormal"/>
    <w:uiPriority w:val="39"/>
    <w:rsid w:val="008761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nopgelostemelding1">
    <w:name w:val="Onopgeloste melding1"/>
    <w:basedOn w:val="DefaultParagraphFont"/>
    <w:uiPriority w:val="99"/>
    <w:semiHidden/>
    <w:unhideWhenUsed/>
    <w:rsid w:val="00111ECC"/>
    <w:rPr>
      <w:color w:val="605E5C"/>
      <w:shd w:val="clear" w:color="auto" w:fill="E1DFDD"/>
    </w:rPr>
  </w:style>
  <w:style w:type="paragraph" w:customStyle="1" w:styleId="oj-normal">
    <w:name w:val="oj-normal"/>
    <w:basedOn w:val="Normal"/>
    <w:rsid w:val="007A5190"/>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FB26F4"/>
    <w:rPr>
      <w:b/>
      <w:bCs/>
    </w:rPr>
  </w:style>
  <w:style w:type="character" w:customStyle="1" w:styleId="CommentSubjectChar">
    <w:name w:val="Comment Subject Char"/>
    <w:basedOn w:val="CommentTextChar"/>
    <w:link w:val="CommentSubject"/>
    <w:uiPriority w:val="99"/>
    <w:semiHidden/>
    <w:rsid w:val="00FB26F4"/>
    <w:rPr>
      <w:rFonts w:ascii="Times New Roman" w:eastAsia="Times New Roman" w:hAnsi="Times New Roman" w:cs="Times New Roman"/>
      <w:b/>
      <w:bCs/>
      <w:sz w:val="20"/>
      <w:szCs w:val="20"/>
      <w:lang w:val="nl-NL" w:eastAsia="nl-NL"/>
    </w:rPr>
  </w:style>
  <w:style w:type="character" w:styleId="Emphasis">
    <w:name w:val="Emphasis"/>
    <w:basedOn w:val="DefaultParagraphFont"/>
    <w:uiPriority w:val="20"/>
    <w:qFormat/>
    <w:rsid w:val="00EB0FC2"/>
    <w:rPr>
      <w:i/>
      <w:iCs/>
    </w:rPr>
  </w:style>
  <w:style w:type="paragraph" w:customStyle="1" w:styleId="Default">
    <w:name w:val="Default"/>
    <w:rsid w:val="003B0486"/>
    <w:pPr>
      <w:autoSpaceDE w:val="0"/>
      <w:autoSpaceDN w:val="0"/>
      <w:adjustRightInd w:val="0"/>
    </w:pPr>
    <w:rPr>
      <w:rFonts w:ascii="Arial" w:eastAsiaTheme="minorHAnsi" w:hAnsi="Arial" w:cs="Arial"/>
      <w:color w:val="000000"/>
      <w:lang w:val="nl-NL" w:eastAsia="en-US"/>
    </w:rPr>
  </w:style>
  <w:style w:type="character" w:customStyle="1" w:styleId="jnlangue">
    <w:name w:val="jnlangue"/>
    <w:basedOn w:val="DefaultParagraphFont"/>
    <w:rsid w:val="00073554"/>
  </w:style>
  <w:style w:type="character" w:customStyle="1" w:styleId="med1">
    <w:name w:val="med1"/>
    <w:basedOn w:val="DefaultParagraphFont"/>
    <w:rsid w:val="00711A06"/>
  </w:style>
  <w:style w:type="character" w:styleId="UnresolvedMention">
    <w:name w:val="Unresolved Mention"/>
    <w:basedOn w:val="DefaultParagraphFont"/>
    <w:uiPriority w:val="99"/>
    <w:semiHidden/>
    <w:unhideWhenUsed/>
    <w:rsid w:val="00C47239"/>
    <w:rPr>
      <w:color w:val="605E5C"/>
      <w:shd w:val="clear" w:color="auto" w:fill="E1DFDD"/>
    </w:rPr>
  </w:style>
  <w:style w:type="character" w:customStyle="1" w:styleId="hl2">
    <w:name w:val="hl2"/>
    <w:basedOn w:val="DefaultParagraphFont"/>
    <w:rsid w:val="002F57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034443">
      <w:bodyDiv w:val="1"/>
      <w:marLeft w:val="0"/>
      <w:marRight w:val="0"/>
      <w:marTop w:val="0"/>
      <w:marBottom w:val="0"/>
      <w:divBdr>
        <w:top w:val="none" w:sz="0" w:space="0" w:color="auto"/>
        <w:left w:val="none" w:sz="0" w:space="0" w:color="auto"/>
        <w:bottom w:val="none" w:sz="0" w:space="0" w:color="auto"/>
        <w:right w:val="none" w:sz="0" w:space="0" w:color="auto"/>
      </w:divBdr>
    </w:div>
    <w:div w:id="252710974">
      <w:bodyDiv w:val="1"/>
      <w:marLeft w:val="0"/>
      <w:marRight w:val="0"/>
      <w:marTop w:val="0"/>
      <w:marBottom w:val="0"/>
      <w:divBdr>
        <w:top w:val="none" w:sz="0" w:space="0" w:color="auto"/>
        <w:left w:val="none" w:sz="0" w:space="0" w:color="auto"/>
        <w:bottom w:val="none" w:sz="0" w:space="0" w:color="auto"/>
        <w:right w:val="none" w:sz="0" w:space="0" w:color="auto"/>
      </w:divBdr>
    </w:div>
    <w:div w:id="352538440">
      <w:bodyDiv w:val="1"/>
      <w:marLeft w:val="0"/>
      <w:marRight w:val="0"/>
      <w:marTop w:val="0"/>
      <w:marBottom w:val="0"/>
      <w:divBdr>
        <w:top w:val="none" w:sz="0" w:space="0" w:color="auto"/>
        <w:left w:val="none" w:sz="0" w:space="0" w:color="auto"/>
        <w:bottom w:val="none" w:sz="0" w:space="0" w:color="auto"/>
        <w:right w:val="none" w:sz="0" w:space="0" w:color="auto"/>
      </w:divBdr>
    </w:div>
    <w:div w:id="379595297">
      <w:bodyDiv w:val="1"/>
      <w:marLeft w:val="0"/>
      <w:marRight w:val="0"/>
      <w:marTop w:val="0"/>
      <w:marBottom w:val="0"/>
      <w:divBdr>
        <w:top w:val="none" w:sz="0" w:space="0" w:color="auto"/>
        <w:left w:val="none" w:sz="0" w:space="0" w:color="auto"/>
        <w:bottom w:val="none" w:sz="0" w:space="0" w:color="auto"/>
        <w:right w:val="none" w:sz="0" w:space="0" w:color="auto"/>
      </w:divBdr>
    </w:div>
    <w:div w:id="466821714">
      <w:bodyDiv w:val="1"/>
      <w:marLeft w:val="0"/>
      <w:marRight w:val="0"/>
      <w:marTop w:val="0"/>
      <w:marBottom w:val="0"/>
      <w:divBdr>
        <w:top w:val="none" w:sz="0" w:space="0" w:color="auto"/>
        <w:left w:val="none" w:sz="0" w:space="0" w:color="auto"/>
        <w:bottom w:val="none" w:sz="0" w:space="0" w:color="auto"/>
        <w:right w:val="none" w:sz="0" w:space="0" w:color="auto"/>
      </w:divBdr>
    </w:div>
    <w:div w:id="495851086">
      <w:bodyDiv w:val="1"/>
      <w:marLeft w:val="0"/>
      <w:marRight w:val="0"/>
      <w:marTop w:val="0"/>
      <w:marBottom w:val="0"/>
      <w:divBdr>
        <w:top w:val="none" w:sz="0" w:space="0" w:color="auto"/>
        <w:left w:val="none" w:sz="0" w:space="0" w:color="auto"/>
        <w:bottom w:val="none" w:sz="0" w:space="0" w:color="auto"/>
        <w:right w:val="none" w:sz="0" w:space="0" w:color="auto"/>
      </w:divBdr>
    </w:div>
    <w:div w:id="517430017">
      <w:bodyDiv w:val="1"/>
      <w:marLeft w:val="0"/>
      <w:marRight w:val="0"/>
      <w:marTop w:val="0"/>
      <w:marBottom w:val="0"/>
      <w:divBdr>
        <w:top w:val="none" w:sz="0" w:space="0" w:color="auto"/>
        <w:left w:val="none" w:sz="0" w:space="0" w:color="auto"/>
        <w:bottom w:val="none" w:sz="0" w:space="0" w:color="auto"/>
        <w:right w:val="none" w:sz="0" w:space="0" w:color="auto"/>
      </w:divBdr>
    </w:div>
    <w:div w:id="533227005">
      <w:bodyDiv w:val="1"/>
      <w:marLeft w:val="0"/>
      <w:marRight w:val="0"/>
      <w:marTop w:val="0"/>
      <w:marBottom w:val="0"/>
      <w:divBdr>
        <w:top w:val="none" w:sz="0" w:space="0" w:color="auto"/>
        <w:left w:val="none" w:sz="0" w:space="0" w:color="auto"/>
        <w:bottom w:val="none" w:sz="0" w:space="0" w:color="auto"/>
        <w:right w:val="none" w:sz="0" w:space="0" w:color="auto"/>
      </w:divBdr>
      <w:divsChild>
        <w:div w:id="672102935">
          <w:marLeft w:val="0"/>
          <w:marRight w:val="0"/>
          <w:marTop w:val="0"/>
          <w:marBottom w:val="0"/>
          <w:divBdr>
            <w:top w:val="none" w:sz="0" w:space="0" w:color="auto"/>
            <w:left w:val="none" w:sz="0" w:space="0" w:color="auto"/>
            <w:bottom w:val="none" w:sz="0" w:space="0" w:color="auto"/>
            <w:right w:val="none" w:sz="0" w:space="0" w:color="auto"/>
          </w:divBdr>
        </w:div>
        <w:div w:id="1727727831">
          <w:marLeft w:val="0"/>
          <w:marRight w:val="0"/>
          <w:marTop w:val="0"/>
          <w:marBottom w:val="0"/>
          <w:divBdr>
            <w:top w:val="none" w:sz="0" w:space="0" w:color="auto"/>
            <w:left w:val="none" w:sz="0" w:space="0" w:color="auto"/>
            <w:bottom w:val="none" w:sz="0" w:space="0" w:color="auto"/>
            <w:right w:val="none" w:sz="0" w:space="0" w:color="auto"/>
          </w:divBdr>
        </w:div>
      </w:divsChild>
    </w:div>
    <w:div w:id="621690122">
      <w:bodyDiv w:val="1"/>
      <w:marLeft w:val="0"/>
      <w:marRight w:val="0"/>
      <w:marTop w:val="0"/>
      <w:marBottom w:val="0"/>
      <w:divBdr>
        <w:top w:val="none" w:sz="0" w:space="0" w:color="auto"/>
        <w:left w:val="none" w:sz="0" w:space="0" w:color="auto"/>
        <w:bottom w:val="none" w:sz="0" w:space="0" w:color="auto"/>
        <w:right w:val="none" w:sz="0" w:space="0" w:color="auto"/>
      </w:divBdr>
    </w:div>
    <w:div w:id="830406801">
      <w:bodyDiv w:val="1"/>
      <w:marLeft w:val="0"/>
      <w:marRight w:val="0"/>
      <w:marTop w:val="0"/>
      <w:marBottom w:val="0"/>
      <w:divBdr>
        <w:top w:val="none" w:sz="0" w:space="0" w:color="auto"/>
        <w:left w:val="none" w:sz="0" w:space="0" w:color="auto"/>
        <w:bottom w:val="none" w:sz="0" w:space="0" w:color="auto"/>
        <w:right w:val="none" w:sz="0" w:space="0" w:color="auto"/>
      </w:divBdr>
    </w:div>
    <w:div w:id="856384197">
      <w:bodyDiv w:val="1"/>
      <w:marLeft w:val="0"/>
      <w:marRight w:val="0"/>
      <w:marTop w:val="0"/>
      <w:marBottom w:val="0"/>
      <w:divBdr>
        <w:top w:val="none" w:sz="0" w:space="0" w:color="auto"/>
        <w:left w:val="none" w:sz="0" w:space="0" w:color="auto"/>
        <w:bottom w:val="none" w:sz="0" w:space="0" w:color="auto"/>
        <w:right w:val="none" w:sz="0" w:space="0" w:color="auto"/>
      </w:divBdr>
    </w:div>
    <w:div w:id="955454252">
      <w:bodyDiv w:val="1"/>
      <w:marLeft w:val="0"/>
      <w:marRight w:val="0"/>
      <w:marTop w:val="0"/>
      <w:marBottom w:val="0"/>
      <w:divBdr>
        <w:top w:val="none" w:sz="0" w:space="0" w:color="auto"/>
        <w:left w:val="none" w:sz="0" w:space="0" w:color="auto"/>
        <w:bottom w:val="none" w:sz="0" w:space="0" w:color="auto"/>
        <w:right w:val="none" w:sz="0" w:space="0" w:color="auto"/>
      </w:divBdr>
    </w:div>
    <w:div w:id="1039161022">
      <w:bodyDiv w:val="1"/>
      <w:marLeft w:val="0"/>
      <w:marRight w:val="0"/>
      <w:marTop w:val="0"/>
      <w:marBottom w:val="0"/>
      <w:divBdr>
        <w:top w:val="none" w:sz="0" w:space="0" w:color="auto"/>
        <w:left w:val="none" w:sz="0" w:space="0" w:color="auto"/>
        <w:bottom w:val="none" w:sz="0" w:space="0" w:color="auto"/>
        <w:right w:val="none" w:sz="0" w:space="0" w:color="auto"/>
      </w:divBdr>
    </w:div>
    <w:div w:id="1040127364">
      <w:bodyDiv w:val="1"/>
      <w:marLeft w:val="0"/>
      <w:marRight w:val="0"/>
      <w:marTop w:val="0"/>
      <w:marBottom w:val="0"/>
      <w:divBdr>
        <w:top w:val="none" w:sz="0" w:space="0" w:color="auto"/>
        <w:left w:val="none" w:sz="0" w:space="0" w:color="auto"/>
        <w:bottom w:val="none" w:sz="0" w:space="0" w:color="auto"/>
        <w:right w:val="none" w:sz="0" w:space="0" w:color="auto"/>
      </w:divBdr>
    </w:div>
    <w:div w:id="1240597338">
      <w:bodyDiv w:val="1"/>
      <w:marLeft w:val="0"/>
      <w:marRight w:val="0"/>
      <w:marTop w:val="0"/>
      <w:marBottom w:val="0"/>
      <w:divBdr>
        <w:top w:val="none" w:sz="0" w:space="0" w:color="auto"/>
        <w:left w:val="none" w:sz="0" w:space="0" w:color="auto"/>
        <w:bottom w:val="none" w:sz="0" w:space="0" w:color="auto"/>
        <w:right w:val="none" w:sz="0" w:space="0" w:color="auto"/>
      </w:divBdr>
    </w:div>
    <w:div w:id="1334140950">
      <w:bodyDiv w:val="1"/>
      <w:marLeft w:val="0"/>
      <w:marRight w:val="0"/>
      <w:marTop w:val="0"/>
      <w:marBottom w:val="0"/>
      <w:divBdr>
        <w:top w:val="none" w:sz="0" w:space="0" w:color="auto"/>
        <w:left w:val="none" w:sz="0" w:space="0" w:color="auto"/>
        <w:bottom w:val="none" w:sz="0" w:space="0" w:color="auto"/>
        <w:right w:val="none" w:sz="0" w:space="0" w:color="auto"/>
      </w:divBdr>
    </w:div>
    <w:div w:id="1335257879">
      <w:bodyDiv w:val="1"/>
      <w:marLeft w:val="0"/>
      <w:marRight w:val="0"/>
      <w:marTop w:val="0"/>
      <w:marBottom w:val="0"/>
      <w:divBdr>
        <w:top w:val="none" w:sz="0" w:space="0" w:color="auto"/>
        <w:left w:val="none" w:sz="0" w:space="0" w:color="auto"/>
        <w:bottom w:val="none" w:sz="0" w:space="0" w:color="auto"/>
        <w:right w:val="none" w:sz="0" w:space="0" w:color="auto"/>
      </w:divBdr>
    </w:div>
    <w:div w:id="1397163174">
      <w:bodyDiv w:val="1"/>
      <w:marLeft w:val="0"/>
      <w:marRight w:val="0"/>
      <w:marTop w:val="0"/>
      <w:marBottom w:val="0"/>
      <w:divBdr>
        <w:top w:val="none" w:sz="0" w:space="0" w:color="auto"/>
        <w:left w:val="none" w:sz="0" w:space="0" w:color="auto"/>
        <w:bottom w:val="none" w:sz="0" w:space="0" w:color="auto"/>
        <w:right w:val="none" w:sz="0" w:space="0" w:color="auto"/>
      </w:divBdr>
    </w:div>
    <w:div w:id="1488934042">
      <w:bodyDiv w:val="1"/>
      <w:marLeft w:val="0"/>
      <w:marRight w:val="0"/>
      <w:marTop w:val="0"/>
      <w:marBottom w:val="0"/>
      <w:divBdr>
        <w:top w:val="none" w:sz="0" w:space="0" w:color="auto"/>
        <w:left w:val="none" w:sz="0" w:space="0" w:color="auto"/>
        <w:bottom w:val="none" w:sz="0" w:space="0" w:color="auto"/>
        <w:right w:val="none" w:sz="0" w:space="0" w:color="auto"/>
      </w:divBdr>
    </w:div>
    <w:div w:id="1676151464">
      <w:bodyDiv w:val="1"/>
      <w:marLeft w:val="0"/>
      <w:marRight w:val="0"/>
      <w:marTop w:val="0"/>
      <w:marBottom w:val="0"/>
      <w:divBdr>
        <w:top w:val="none" w:sz="0" w:space="0" w:color="auto"/>
        <w:left w:val="none" w:sz="0" w:space="0" w:color="auto"/>
        <w:bottom w:val="none" w:sz="0" w:space="0" w:color="auto"/>
        <w:right w:val="none" w:sz="0" w:space="0" w:color="auto"/>
      </w:divBdr>
    </w:div>
    <w:div w:id="1701005484">
      <w:bodyDiv w:val="1"/>
      <w:marLeft w:val="0"/>
      <w:marRight w:val="0"/>
      <w:marTop w:val="0"/>
      <w:marBottom w:val="0"/>
      <w:divBdr>
        <w:top w:val="none" w:sz="0" w:space="0" w:color="auto"/>
        <w:left w:val="none" w:sz="0" w:space="0" w:color="auto"/>
        <w:bottom w:val="none" w:sz="0" w:space="0" w:color="auto"/>
        <w:right w:val="none" w:sz="0" w:space="0" w:color="auto"/>
      </w:divBdr>
    </w:div>
    <w:div w:id="17839570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grationlawclinic@vu.n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igrationlawclinic.or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beck-online.beck.de/?typ=reference&amp;y=200&amp;az=2BVR161507&amp;ge=BVERFG" TargetMode="External"/><Relationship Id="rId1" Type="http://schemas.openxmlformats.org/officeDocument/2006/relationships/hyperlink" Target="https://beck-online.beck.de/?typ=reference&amp;y=400&amp;a=104&amp;g=GG&amp;w=DREIERKOGG&amp;rn=36"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OwsG/JDz5DF+j4BSOYR++5XlGMQ==">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</go:docsCustomData>
</go:gDocsCustomXmlDataStorage>
</file>

<file path=customXml/itemProps1.xml><?xml version="1.0" encoding="utf-8"?>
<ds:datastoreItem xmlns:ds="http://schemas.openxmlformats.org/officeDocument/2006/customXml" ds:itemID="{D1DB5E4D-2100-4347-98BC-5093549B785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24</Pages>
  <Words>8960</Words>
  <Characters>49282</Characters>
  <Application>Microsoft Office Word</Application>
  <DocSecurity>0</DocSecurity>
  <Lines>410</Lines>
  <Paragraphs>116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ella bergel</dc:creator>
  <cp:keywords/>
  <dc:description/>
  <cp:lastModifiedBy>Reneman, A.M. (Marcelle)</cp:lastModifiedBy>
  <cp:revision>6</cp:revision>
  <cp:lastPrinted>2021-03-17T11:16:00Z</cp:lastPrinted>
  <dcterms:created xsi:type="dcterms:W3CDTF">2021-03-17T09:49:00Z</dcterms:created>
  <dcterms:modified xsi:type="dcterms:W3CDTF">2022-11-14T11:25:00Z</dcterms:modified>
</cp:coreProperties>
</file>